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00000001" w14:textId="77777777" w:rsidR="004E766C" w:rsidRDefault="00000000">
      <w:pPr>
        <w:spacing w:line="240" w:lineRule="auto"/>
        <w:jc w:val="center"/>
        <w:rPr>
          <w:rFonts w:ascii="Times New Roman" w:eastAsia="Times New Roman" w:hAnsi="Times New Roman" w:cs="Times New Roman"/>
          <w:b/>
          <w:bCs/>
          <w:sz w:val="24"/>
          <w:szCs w:val="24"/>
          <w:u w:val="single"/>
        </w:rPr>
      </w:pPr>
      <w:r>
        <w:rPr>
          <w:rFonts w:ascii="Times New Roman" w:eastAsia="Times New Roman" w:hAnsi="Times New Roman" w:cs="Times New Roman"/>
          <w:b/>
          <w:bCs/>
          <w:noProof/>
          <w:sz w:val="24"/>
          <w:szCs w:val="24"/>
          <w:u w:val="single"/>
        </w:rPr>
        <w:drawing>
          <wp:inline distT="114300" distB="114300" distL="114300" distR="114300" wp14:anchorId="043CF404" wp14:editId="316A02FD">
            <wp:extent cx="4012502" cy="1404938"/>
            <wp:effectExtent l="0" t="0" r="0" b="0"/>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4012502" cy="1404938"/>
                    </a:xfrm>
                    <a:prstGeom prst="rect">
                      <a:avLst/>
                    </a:prstGeom>
                    <a:ln/>
                  </pic:spPr>
                </pic:pic>
              </a:graphicData>
            </a:graphic>
          </wp:inline>
        </w:drawing>
      </w:r>
    </w:p>
    <w:p w14:paraId="00000002" w14:textId="77777777" w:rsidR="004E766C" w:rsidRDefault="004E766C">
      <w:pPr>
        <w:spacing w:line="240" w:lineRule="auto"/>
        <w:jc w:val="center"/>
        <w:rPr>
          <w:rFonts w:ascii="Times New Roman" w:eastAsia="Times New Roman" w:hAnsi="Times New Roman" w:cs="Times New Roman"/>
          <w:b/>
          <w:bCs/>
          <w:sz w:val="24"/>
          <w:szCs w:val="24"/>
          <w:u w:val="single"/>
        </w:rPr>
      </w:pPr>
    </w:p>
    <w:p w14:paraId="00000003" w14:textId="77777777" w:rsidR="004E766C" w:rsidRDefault="00000000">
      <w:pPr>
        <w:spacing w:line="240" w:lineRule="auto"/>
        <w:jc w:val="center"/>
        <w:rPr>
          <w:rFonts w:ascii="Times New Roman" w:eastAsia="Times New Roman" w:hAnsi="Times New Roman" w:cs="Times New Roman"/>
          <w:b/>
          <w:bCs/>
          <w:i/>
          <w:iCs/>
          <w:sz w:val="30"/>
          <w:szCs w:val="30"/>
        </w:rPr>
      </w:pPr>
      <w:r>
        <w:rPr>
          <w:rFonts w:ascii="Times New Roman" w:eastAsia="Times New Roman" w:hAnsi="Times New Roman" w:cs="Times New Roman"/>
          <w:b/>
          <w:bCs/>
          <w:i/>
          <w:iCs/>
          <w:sz w:val="30"/>
          <w:szCs w:val="30"/>
        </w:rPr>
        <w:t xml:space="preserve">Rapport de mission de la Public </w:t>
      </w:r>
      <w:proofErr w:type="spellStart"/>
      <w:r>
        <w:rPr>
          <w:rFonts w:ascii="Times New Roman" w:eastAsia="Times New Roman" w:hAnsi="Times New Roman" w:cs="Times New Roman"/>
          <w:b/>
          <w:bCs/>
          <w:i/>
          <w:iCs/>
          <w:sz w:val="30"/>
          <w:szCs w:val="30"/>
        </w:rPr>
        <w:t>Factory</w:t>
      </w:r>
      <w:proofErr w:type="spellEnd"/>
    </w:p>
    <w:p w14:paraId="00000004" w14:textId="77777777" w:rsidR="004E766C" w:rsidRDefault="004E766C">
      <w:pPr>
        <w:spacing w:line="240" w:lineRule="auto"/>
        <w:jc w:val="both"/>
        <w:rPr>
          <w:rFonts w:ascii="Times New Roman" w:eastAsia="Times New Roman" w:hAnsi="Times New Roman" w:cs="Times New Roman"/>
          <w:i/>
          <w:iCs/>
          <w:sz w:val="24"/>
          <w:szCs w:val="24"/>
        </w:rPr>
      </w:pPr>
    </w:p>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E766C" w14:paraId="65F15900" w14:textId="77777777">
        <w:tc>
          <w:tcPr>
            <w:tcW w:w="9029" w:type="dxa"/>
            <w:tcMar>
              <w:top w:w="100" w:type="dxa"/>
              <w:left w:w="100" w:type="dxa"/>
              <w:bottom w:w="100" w:type="dxa"/>
              <w:right w:w="100" w:type="dxa"/>
            </w:tcMar>
          </w:tcPr>
          <w:sdt>
            <w:sdtPr>
              <w:tag w:val="goog_rdk_0"/>
              <w:id w:val="-294978355"/>
              <w:lock w:val="contentLocked"/>
            </w:sdtPr>
            <w:sdtContent>
              <w:p w14:paraId="00000005" w14:textId="77777777" w:rsidR="004E766C" w:rsidRDefault="00000000">
                <w:pPr>
                  <w:widowControl w:val="0"/>
                  <w:spacing w:line="240" w:lineRule="auto"/>
                  <w:jc w:val="center"/>
                  <w:rPr>
                    <w:rFonts w:ascii="Times New Roman" w:eastAsia="Times New Roman" w:hAnsi="Times New Roman" w:cs="Times New Roman"/>
                    <w:b/>
                    <w:bCs/>
                    <w:i/>
                    <w:iCs/>
                    <w:sz w:val="46"/>
                    <w:szCs w:val="46"/>
                  </w:rPr>
                </w:pPr>
                <w:r>
                  <w:rPr>
                    <w:rFonts w:ascii="Times New Roman" w:eastAsia="Times New Roman" w:hAnsi="Times New Roman" w:cs="Times New Roman"/>
                    <w:b/>
                    <w:bCs/>
                    <w:i/>
                    <w:iCs/>
                    <w:sz w:val="46"/>
                    <w:szCs w:val="46"/>
                  </w:rPr>
                  <w:t>PENSER L’HOSPITALITÉ À LA MAISON DES FEMMES DE LYON</w:t>
                </w:r>
              </w:p>
            </w:sdtContent>
          </w:sdt>
        </w:tc>
      </w:tr>
    </w:tbl>
    <w:p w14:paraId="00000006" w14:textId="77777777" w:rsidR="004E766C" w:rsidRDefault="004E766C">
      <w:pPr>
        <w:spacing w:line="240" w:lineRule="auto"/>
        <w:jc w:val="both"/>
        <w:rPr>
          <w:rFonts w:ascii="Times New Roman" w:eastAsia="Times New Roman" w:hAnsi="Times New Roman" w:cs="Times New Roman"/>
          <w:i/>
          <w:iCs/>
          <w:sz w:val="46"/>
          <w:szCs w:val="46"/>
        </w:rPr>
      </w:pPr>
    </w:p>
    <w:p w14:paraId="00000007" w14:textId="77777777" w:rsidR="004E766C" w:rsidRDefault="00000000">
      <w:pPr>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Faire culture commune : considérer les relations interprofessionnelles pour un accompagnement adapté aux bénéficiaires</w:t>
      </w:r>
    </w:p>
    <w:p w14:paraId="00000008" w14:textId="77777777" w:rsidR="004E766C" w:rsidRDefault="004E766C">
      <w:pPr>
        <w:jc w:val="center"/>
      </w:pPr>
    </w:p>
    <w:p w14:paraId="00000009" w14:textId="77777777" w:rsidR="004E766C" w:rsidRDefault="00000000">
      <w:pPr>
        <w:jc w:val="center"/>
      </w:pPr>
      <w:r>
        <w:rPr>
          <w:noProof/>
        </w:rPr>
        <w:drawing>
          <wp:inline distT="114300" distB="114300" distL="114300" distR="114300" wp14:anchorId="4B016CF7" wp14:editId="10BE1D65">
            <wp:extent cx="4152900" cy="1104900"/>
            <wp:effectExtent l="0" t="0" r="0" b="0"/>
            <wp:docPr id="4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a:srcRect/>
                    <a:stretch>
                      <a:fillRect/>
                    </a:stretch>
                  </pic:blipFill>
                  <pic:spPr>
                    <a:xfrm>
                      <a:off x="0" y="0"/>
                      <a:ext cx="4152900" cy="1104900"/>
                    </a:xfrm>
                    <a:prstGeom prst="rect">
                      <a:avLst/>
                    </a:prstGeom>
                    <a:ln/>
                  </pic:spPr>
                </pic:pic>
              </a:graphicData>
            </a:graphic>
          </wp:inline>
        </w:drawing>
      </w:r>
    </w:p>
    <w:p w14:paraId="0000000A" w14:textId="77777777" w:rsidR="004E766C" w:rsidRDefault="004E766C">
      <w:pPr>
        <w:jc w:val="center"/>
      </w:pPr>
    </w:p>
    <w:p w14:paraId="0000000B" w14:textId="77777777" w:rsidR="004E766C" w:rsidRDefault="004E766C">
      <w:pPr>
        <w:jc w:val="center"/>
      </w:pPr>
    </w:p>
    <w:p w14:paraId="0000000C" w14:textId="77777777" w:rsidR="004E766C" w:rsidRDefault="004E766C"/>
    <w:p w14:paraId="0000000D" w14:textId="77777777" w:rsidR="004E766C" w:rsidRDefault="004E766C">
      <w:pPr>
        <w:jc w:val="center"/>
      </w:pPr>
    </w:p>
    <w:p w14:paraId="0000000E" w14:textId="77777777" w:rsidR="004E766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Encadré par Muriel SALLE</w:t>
      </w:r>
    </w:p>
    <w:p w14:paraId="0000000F" w14:textId="77777777" w:rsidR="004E766C"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Commandité par le Collectif associatif de la Maison des Femmes de Lyon</w:t>
      </w:r>
    </w:p>
    <w:p w14:paraId="00000010" w14:textId="77777777" w:rsidR="004E766C" w:rsidRDefault="004E766C">
      <w:pPr>
        <w:jc w:val="center"/>
      </w:pPr>
    </w:p>
    <w:p w14:paraId="00000011" w14:textId="77777777" w:rsidR="004E766C" w:rsidRDefault="004E766C">
      <w:pPr>
        <w:jc w:val="center"/>
      </w:pPr>
    </w:p>
    <w:p w14:paraId="00000012" w14:textId="77777777" w:rsidR="004E766C" w:rsidRDefault="004E766C">
      <w:pPr>
        <w:jc w:val="center"/>
      </w:pPr>
    </w:p>
    <w:p w14:paraId="00000013" w14:textId="77777777" w:rsidR="004E766C" w:rsidRDefault="004E766C">
      <w:pPr>
        <w:jc w:val="center"/>
      </w:pPr>
    </w:p>
    <w:p w14:paraId="00000014" w14:textId="77777777" w:rsidR="004E766C" w:rsidRDefault="00000000">
      <w:pPr>
        <w:jc w:val="both"/>
        <w:rPr>
          <w:rFonts w:ascii="Times New Roman" w:eastAsia="Times New Roman" w:hAnsi="Times New Roman" w:cs="Times New Roman"/>
          <w:sz w:val="30"/>
          <w:szCs w:val="30"/>
        </w:rPr>
      </w:pPr>
      <w:r>
        <w:rPr>
          <w:rFonts w:ascii="Times New Roman" w:eastAsia="Times New Roman" w:hAnsi="Times New Roman" w:cs="Times New Roman"/>
          <w:b/>
          <w:bCs/>
          <w:sz w:val="30"/>
          <w:szCs w:val="30"/>
        </w:rPr>
        <w:t xml:space="preserve">Groupe PF n°4 </w:t>
      </w:r>
      <w:r>
        <w:rPr>
          <w:rFonts w:ascii="Times New Roman" w:eastAsia="Times New Roman" w:hAnsi="Times New Roman" w:cs="Times New Roman"/>
          <w:sz w:val="30"/>
          <w:szCs w:val="30"/>
        </w:rPr>
        <w:t xml:space="preserve">: BERLAND, Jade - BUSAC, Axel - LIOTARD, Axelle - POUGET, Ambre - POULLET—PÉTERSZEGI, Alice - RABIHOU, Myriam - </w:t>
      </w:r>
      <w:proofErr w:type="gramStart"/>
      <w:r>
        <w:rPr>
          <w:rFonts w:ascii="Times New Roman" w:eastAsia="Times New Roman" w:hAnsi="Times New Roman" w:cs="Times New Roman"/>
          <w:sz w:val="30"/>
          <w:szCs w:val="30"/>
        </w:rPr>
        <w:t>VEILLET,  Noé</w:t>
      </w:r>
      <w:proofErr w:type="gramEnd"/>
      <w:r>
        <w:rPr>
          <w:rFonts w:ascii="Times New Roman" w:eastAsia="Times New Roman" w:hAnsi="Times New Roman" w:cs="Times New Roman"/>
          <w:sz w:val="30"/>
          <w:szCs w:val="30"/>
        </w:rPr>
        <w:t xml:space="preserve"> - VIAUD, Pénélope - WOZNIAK, Charlotte</w:t>
      </w:r>
    </w:p>
    <w:p w14:paraId="00000015" w14:textId="77777777" w:rsidR="004E766C" w:rsidRDefault="004E766C"/>
    <w:p w14:paraId="00000016" w14:textId="77777777" w:rsidR="004E766C" w:rsidRDefault="00A4465B">
      <w:r>
        <w:rPr>
          <w:noProof/>
        </w:rPr>
      </w:r>
      <w:r w:rsidR="00A4465B">
        <w:rPr>
          <w:noProof/>
        </w:rPr>
        <w:pict w14:anchorId="3DF565D8">
          <v:rect id="_x0000_i1025" alt="" style="width:451.45pt;height:.05pt;mso-width-percent:0;mso-height-percent:0;mso-width-percent:0;mso-height-percent:0" o:hralign="center" o:hrstd="t" o:hr="t" fillcolor="#a0a0a0" stroked="f"/>
        </w:pict>
      </w:r>
    </w:p>
    <w:p w14:paraId="00000017" w14:textId="77777777" w:rsidR="004E766C" w:rsidRDefault="004E766C"/>
    <w:p w14:paraId="00000018" w14:textId="77777777" w:rsidR="004E766C" w:rsidRDefault="00000000">
      <w:pPr>
        <w:jc w:val="center"/>
        <w:sectPr w:rsidR="004E766C">
          <w:headerReference w:type="even" r:id="rId10"/>
          <w:headerReference w:type="default" r:id="rId11"/>
          <w:footerReference w:type="even" r:id="rId12"/>
          <w:footerReference w:type="default" r:id="rId13"/>
          <w:headerReference w:type="first" r:id="rId14"/>
          <w:footerReference w:type="first" r:id="rId15"/>
          <w:pgSz w:w="11909" w:h="16834"/>
          <w:pgMar w:top="1440" w:right="1440" w:bottom="1440" w:left="1440" w:header="720" w:footer="720" w:gutter="0"/>
          <w:pgNumType w:start="0"/>
          <w:cols w:space="720"/>
          <w:titlePg/>
        </w:sectPr>
      </w:pPr>
      <w:r>
        <w:rPr>
          <w:rFonts w:ascii="Times New Roman" w:eastAsia="Times New Roman" w:hAnsi="Times New Roman" w:cs="Times New Roman"/>
          <w:b/>
          <w:bCs/>
        </w:rPr>
        <w:t>Année 2025/2026</w:t>
      </w:r>
    </w:p>
    <w:p w14:paraId="00000019" w14:textId="77777777" w:rsidR="004E766C" w:rsidRDefault="004E766C">
      <w:pPr>
        <w:pStyle w:val="Titre1"/>
        <w:jc w:val="center"/>
      </w:pPr>
      <w:bookmarkStart w:id="0" w:name="_heading=h.gobery8eixaa" w:colFirst="0" w:colLast="0"/>
      <w:bookmarkEnd w:id="0"/>
    </w:p>
    <w:p w14:paraId="0000001A" w14:textId="77777777" w:rsidR="004E766C" w:rsidRDefault="004E766C">
      <w:pPr>
        <w:pStyle w:val="Titre1"/>
        <w:jc w:val="center"/>
      </w:pPr>
      <w:bookmarkStart w:id="1" w:name="_heading=h.izhqajkfmgpd" w:colFirst="0" w:colLast="0"/>
      <w:bookmarkEnd w:id="1"/>
    </w:p>
    <w:p w14:paraId="0000001B" w14:textId="77777777" w:rsidR="004E766C" w:rsidRDefault="004E766C">
      <w:pPr>
        <w:pStyle w:val="Titre1"/>
        <w:jc w:val="center"/>
      </w:pPr>
      <w:bookmarkStart w:id="2" w:name="_heading=h.2n7ql5tokrvv" w:colFirst="0" w:colLast="0"/>
      <w:bookmarkEnd w:id="2"/>
    </w:p>
    <w:p w14:paraId="0000001C" w14:textId="77777777" w:rsidR="004E766C" w:rsidRDefault="004E766C">
      <w:pPr>
        <w:pStyle w:val="Titre1"/>
        <w:jc w:val="center"/>
      </w:pPr>
      <w:bookmarkStart w:id="3" w:name="_heading=h.wcs8udie85cr" w:colFirst="0" w:colLast="0"/>
      <w:bookmarkEnd w:id="3"/>
    </w:p>
    <w:p w14:paraId="0000001D" w14:textId="77777777" w:rsidR="004E766C" w:rsidRDefault="004E766C">
      <w:pPr>
        <w:pStyle w:val="Titre1"/>
        <w:jc w:val="center"/>
      </w:pPr>
      <w:bookmarkStart w:id="4" w:name="_heading=h.gilho3nciqt0" w:colFirst="0" w:colLast="0"/>
      <w:bookmarkEnd w:id="4"/>
    </w:p>
    <w:p w14:paraId="0000001E" w14:textId="77777777" w:rsidR="004E766C" w:rsidRDefault="004E766C">
      <w:pPr>
        <w:pStyle w:val="Titre1"/>
        <w:jc w:val="center"/>
      </w:pPr>
      <w:bookmarkStart w:id="5" w:name="_heading=h.g5bdts2ldrwl" w:colFirst="0" w:colLast="0"/>
      <w:bookmarkEnd w:id="5"/>
    </w:p>
    <w:p w14:paraId="0000001F" w14:textId="77777777" w:rsidR="004E766C" w:rsidRDefault="004E766C">
      <w:pPr>
        <w:pStyle w:val="Titre1"/>
        <w:jc w:val="center"/>
      </w:pPr>
      <w:bookmarkStart w:id="6" w:name="_heading=h.ase2jwv57udc" w:colFirst="0" w:colLast="0"/>
      <w:bookmarkEnd w:id="6"/>
    </w:p>
    <w:p w14:paraId="00000020" w14:textId="77777777" w:rsidR="004E766C" w:rsidRDefault="004E766C">
      <w:pPr>
        <w:pStyle w:val="Titre1"/>
        <w:jc w:val="center"/>
      </w:pPr>
      <w:bookmarkStart w:id="7" w:name="_heading=h.hn0hj7tqof9l" w:colFirst="0" w:colLast="0"/>
      <w:bookmarkEnd w:id="7"/>
    </w:p>
    <w:p w14:paraId="00000021" w14:textId="77777777" w:rsidR="004E766C" w:rsidRDefault="004E766C">
      <w:pPr>
        <w:pStyle w:val="Titre1"/>
        <w:jc w:val="center"/>
      </w:pPr>
      <w:bookmarkStart w:id="8" w:name="_heading=h.50ugfitvaq8r" w:colFirst="0" w:colLast="0"/>
      <w:bookmarkEnd w:id="8"/>
    </w:p>
    <w:p w14:paraId="00000022" w14:textId="77777777" w:rsidR="004E766C" w:rsidRDefault="004E766C">
      <w:pPr>
        <w:pStyle w:val="Titre1"/>
        <w:jc w:val="center"/>
      </w:pPr>
      <w:bookmarkStart w:id="9" w:name="_heading=h.f51zbt6j53q8" w:colFirst="0" w:colLast="0"/>
      <w:bookmarkEnd w:id="9"/>
    </w:p>
    <w:p w14:paraId="00000023" w14:textId="77777777" w:rsidR="004E766C" w:rsidRDefault="004E766C">
      <w:pPr>
        <w:pStyle w:val="Titre1"/>
        <w:jc w:val="center"/>
      </w:pPr>
      <w:bookmarkStart w:id="10" w:name="_heading=h.ozutcinsrolq" w:colFirst="0" w:colLast="0"/>
      <w:bookmarkEnd w:id="10"/>
    </w:p>
    <w:p w14:paraId="00000024" w14:textId="77777777" w:rsidR="004E766C" w:rsidRDefault="004E766C">
      <w:pPr>
        <w:pStyle w:val="Titre1"/>
        <w:jc w:val="center"/>
      </w:pPr>
      <w:bookmarkStart w:id="11" w:name="_heading=h.kpnp15to2nne" w:colFirst="0" w:colLast="0"/>
      <w:bookmarkEnd w:id="11"/>
    </w:p>
    <w:p w14:paraId="00000025" w14:textId="77777777" w:rsidR="004E766C" w:rsidRDefault="004E766C">
      <w:pPr>
        <w:pStyle w:val="Titre1"/>
        <w:jc w:val="center"/>
      </w:pPr>
      <w:bookmarkStart w:id="12" w:name="_heading=h.7iwac9c5rl3r" w:colFirst="0" w:colLast="0"/>
      <w:bookmarkEnd w:id="12"/>
    </w:p>
    <w:p w14:paraId="00000026" w14:textId="77777777" w:rsidR="004E766C" w:rsidRDefault="004E766C">
      <w:pPr>
        <w:pStyle w:val="Titre1"/>
        <w:jc w:val="center"/>
      </w:pPr>
      <w:bookmarkStart w:id="13" w:name="_heading=h.7hal59p31m0g" w:colFirst="0" w:colLast="0"/>
      <w:bookmarkEnd w:id="13"/>
    </w:p>
    <w:p w14:paraId="00000027" w14:textId="77777777" w:rsidR="004E766C" w:rsidRDefault="004E766C">
      <w:pPr>
        <w:pStyle w:val="Titre1"/>
        <w:jc w:val="center"/>
      </w:pPr>
      <w:bookmarkStart w:id="14" w:name="_heading=h.irir60beirwc" w:colFirst="0" w:colLast="0"/>
      <w:bookmarkEnd w:id="14"/>
    </w:p>
    <w:p w14:paraId="00000028" w14:textId="77777777" w:rsidR="004E766C" w:rsidRDefault="004E766C">
      <w:pPr>
        <w:pStyle w:val="Titre1"/>
        <w:jc w:val="center"/>
      </w:pPr>
      <w:bookmarkStart w:id="15" w:name="_heading=h.6nppkfghbzgi" w:colFirst="0" w:colLast="0"/>
      <w:bookmarkEnd w:id="15"/>
    </w:p>
    <w:p w14:paraId="00000029" w14:textId="77777777" w:rsidR="004E766C" w:rsidRDefault="004E766C">
      <w:pPr>
        <w:pStyle w:val="Titre1"/>
        <w:jc w:val="center"/>
      </w:pPr>
      <w:bookmarkStart w:id="16" w:name="_heading=h.w035bbhl7slr" w:colFirst="0" w:colLast="0"/>
      <w:bookmarkEnd w:id="16"/>
    </w:p>
    <w:p w14:paraId="0000002A" w14:textId="77777777" w:rsidR="004E766C" w:rsidRDefault="004E766C">
      <w:pPr>
        <w:pStyle w:val="Titre1"/>
        <w:jc w:val="center"/>
      </w:pPr>
      <w:bookmarkStart w:id="17" w:name="_heading=h.dc4twe91rozs" w:colFirst="0" w:colLast="0"/>
      <w:bookmarkEnd w:id="17"/>
    </w:p>
    <w:p w14:paraId="0000002B" w14:textId="77777777" w:rsidR="004E766C" w:rsidRDefault="004E766C">
      <w:pPr>
        <w:pStyle w:val="Titre1"/>
        <w:jc w:val="center"/>
      </w:pPr>
      <w:bookmarkStart w:id="18" w:name="_heading=h.2a5gdms7ansd" w:colFirst="0" w:colLast="0"/>
      <w:bookmarkEnd w:id="18"/>
    </w:p>
    <w:p w14:paraId="0000002C" w14:textId="77777777" w:rsidR="004E766C" w:rsidRDefault="004E766C">
      <w:pPr>
        <w:pStyle w:val="Titre1"/>
        <w:jc w:val="center"/>
      </w:pPr>
      <w:bookmarkStart w:id="19" w:name="_heading=h.fgsmd2tvyzp3" w:colFirst="0" w:colLast="0"/>
      <w:bookmarkEnd w:id="19"/>
    </w:p>
    <w:p w14:paraId="0000002D" w14:textId="77777777" w:rsidR="004E766C" w:rsidRDefault="004E766C">
      <w:pPr>
        <w:pStyle w:val="Titre1"/>
        <w:jc w:val="center"/>
      </w:pPr>
      <w:bookmarkStart w:id="20" w:name="_heading=h.eezgy6d4mzkh" w:colFirst="0" w:colLast="0"/>
      <w:bookmarkEnd w:id="20"/>
    </w:p>
    <w:p w14:paraId="0000002E" w14:textId="77777777" w:rsidR="004E766C" w:rsidRDefault="004E766C">
      <w:pPr>
        <w:pStyle w:val="Titre1"/>
        <w:jc w:val="center"/>
      </w:pPr>
      <w:bookmarkStart w:id="21" w:name="_heading=h.y0jfo41se9jz" w:colFirst="0" w:colLast="0"/>
      <w:bookmarkEnd w:id="21"/>
    </w:p>
    <w:p w14:paraId="0000002F" w14:textId="77777777" w:rsidR="004E766C" w:rsidRDefault="004E766C">
      <w:pPr>
        <w:sectPr w:rsidR="004E766C">
          <w:footerReference w:type="default" r:id="rId16"/>
          <w:pgSz w:w="11909" w:h="16834"/>
          <w:pgMar w:top="1440" w:right="1440" w:bottom="1440" w:left="1440" w:header="720" w:footer="720" w:gutter="0"/>
          <w:pgNumType w:start="0"/>
          <w:cols w:space="720"/>
          <w:titlePg/>
        </w:sectPr>
      </w:pPr>
    </w:p>
    <w:p w14:paraId="00000030" w14:textId="77777777" w:rsidR="004E766C" w:rsidRDefault="00000000">
      <w:pPr>
        <w:pStyle w:val="Titre1"/>
        <w:jc w:val="center"/>
      </w:pPr>
      <w:bookmarkStart w:id="22" w:name="_heading=h.40n73rp7zdxs" w:colFirst="0" w:colLast="0"/>
      <w:bookmarkEnd w:id="22"/>
      <w:r>
        <w:lastRenderedPageBreak/>
        <w:t>REMERCIEMENTS</w:t>
      </w:r>
    </w:p>
    <w:p w14:paraId="00000031" w14:textId="77777777" w:rsidR="004E766C" w:rsidRDefault="00A4465B">
      <w:r>
        <w:rPr>
          <w:noProof/>
        </w:rPr>
      </w:r>
      <w:r w:rsidR="00A4465B">
        <w:rPr>
          <w:noProof/>
        </w:rPr>
        <w:pict w14:anchorId="763A0593">
          <v:rect id="_x0000_i1026" alt="" style="width:451.45pt;height:.05pt;mso-width-percent:0;mso-height-percent:0;mso-width-percent:0;mso-height-percent:0" o:hralign="center" o:hrstd="t" o:hr="t" fillcolor="#a0a0a0" stroked="f"/>
        </w:pict>
      </w:r>
    </w:p>
    <w:p w14:paraId="00000032" w14:textId="77777777" w:rsidR="004E766C" w:rsidRDefault="004E766C"/>
    <w:p w14:paraId="00000033"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Nous voulons remercier toutes les personnes qui nous ont </w:t>
      </w:r>
      <w:proofErr w:type="spellStart"/>
      <w:r>
        <w:rPr>
          <w:rFonts w:ascii="Times New Roman" w:eastAsia="Times New Roman" w:hAnsi="Times New Roman" w:cs="Times New Roman"/>
          <w:sz w:val="24"/>
          <w:szCs w:val="24"/>
        </w:rPr>
        <w:t>accompagné·es</w:t>
      </w:r>
      <w:proofErr w:type="spellEnd"/>
      <w:r>
        <w:rPr>
          <w:rFonts w:ascii="Times New Roman" w:eastAsia="Times New Roman" w:hAnsi="Times New Roman" w:cs="Times New Roman"/>
          <w:sz w:val="24"/>
          <w:szCs w:val="24"/>
        </w:rPr>
        <w:t xml:space="preserve"> dans notre réflexion. Votre expertise et nos échanges ont été précieux pour construire ce rapport.</w:t>
      </w:r>
    </w:p>
    <w:p w14:paraId="00000034" w14:textId="77777777" w:rsidR="004E766C" w:rsidRDefault="004E766C">
      <w:pPr>
        <w:spacing w:line="240" w:lineRule="auto"/>
        <w:jc w:val="both"/>
        <w:rPr>
          <w:rFonts w:ascii="Times New Roman" w:eastAsia="Times New Roman" w:hAnsi="Times New Roman" w:cs="Times New Roman"/>
          <w:sz w:val="24"/>
          <w:szCs w:val="24"/>
        </w:rPr>
      </w:pPr>
    </w:p>
    <w:p w14:paraId="00000035"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Merci à Florent </w:t>
      </w:r>
      <w:proofErr w:type="spellStart"/>
      <w:r>
        <w:rPr>
          <w:rFonts w:ascii="Times New Roman" w:eastAsia="Times New Roman" w:hAnsi="Times New Roman" w:cs="Times New Roman"/>
          <w:sz w:val="24"/>
          <w:szCs w:val="24"/>
        </w:rPr>
        <w:t>Ottello</w:t>
      </w:r>
      <w:proofErr w:type="spellEnd"/>
      <w:r>
        <w:rPr>
          <w:rFonts w:ascii="Times New Roman" w:eastAsia="Times New Roman" w:hAnsi="Times New Roman" w:cs="Times New Roman"/>
          <w:sz w:val="24"/>
          <w:szCs w:val="24"/>
        </w:rPr>
        <w:t xml:space="preserve"> pour sa vision, Laure </w:t>
      </w:r>
      <w:proofErr w:type="spellStart"/>
      <w:r>
        <w:rPr>
          <w:rFonts w:ascii="Times New Roman" w:eastAsia="Times New Roman" w:hAnsi="Times New Roman" w:cs="Times New Roman"/>
          <w:sz w:val="24"/>
          <w:szCs w:val="24"/>
        </w:rPr>
        <w:t>Chebbah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Malicet</w:t>
      </w:r>
      <w:proofErr w:type="spellEnd"/>
      <w:r>
        <w:rPr>
          <w:rFonts w:ascii="Times New Roman" w:eastAsia="Times New Roman" w:hAnsi="Times New Roman" w:cs="Times New Roman"/>
          <w:sz w:val="24"/>
          <w:szCs w:val="24"/>
        </w:rPr>
        <w:t xml:space="preserve"> de Passerelle Buissonnière pour ses ressources et ses conseils précieux, Gwenaelle Ferré pour son engagement, Stéphanie </w:t>
      </w:r>
      <w:proofErr w:type="spellStart"/>
      <w:r>
        <w:rPr>
          <w:rFonts w:ascii="Times New Roman" w:eastAsia="Times New Roman" w:hAnsi="Times New Roman" w:cs="Times New Roman"/>
          <w:sz w:val="24"/>
          <w:szCs w:val="24"/>
        </w:rPr>
        <w:t>Gaudillat</w:t>
      </w:r>
      <w:proofErr w:type="spellEnd"/>
      <w:r>
        <w:rPr>
          <w:rFonts w:ascii="Times New Roman" w:eastAsia="Times New Roman" w:hAnsi="Times New Roman" w:cs="Times New Roman"/>
          <w:sz w:val="24"/>
          <w:szCs w:val="24"/>
        </w:rPr>
        <w:t xml:space="preserve"> pour son expérience, Anne </w:t>
      </w:r>
      <w:proofErr w:type="spellStart"/>
      <w:r>
        <w:rPr>
          <w:rFonts w:ascii="Times New Roman" w:eastAsia="Times New Roman" w:hAnsi="Times New Roman" w:cs="Times New Roman"/>
          <w:sz w:val="24"/>
          <w:szCs w:val="24"/>
        </w:rPr>
        <w:t>Couillaud</w:t>
      </w:r>
      <w:proofErr w:type="spellEnd"/>
      <w:r>
        <w:rPr>
          <w:rFonts w:ascii="Times New Roman" w:eastAsia="Times New Roman" w:hAnsi="Times New Roman" w:cs="Times New Roman"/>
          <w:sz w:val="24"/>
          <w:szCs w:val="24"/>
        </w:rPr>
        <w:t xml:space="preserve"> pour ses partages, Elisabeth Liotard pour son expertise ou encore Isabelle Paquet pour sa créativité. </w:t>
      </w:r>
    </w:p>
    <w:p w14:paraId="00000036" w14:textId="77777777" w:rsidR="004E766C" w:rsidRDefault="004E766C">
      <w:pPr>
        <w:spacing w:line="240" w:lineRule="auto"/>
        <w:jc w:val="both"/>
        <w:rPr>
          <w:rFonts w:ascii="Times New Roman" w:eastAsia="Times New Roman" w:hAnsi="Times New Roman" w:cs="Times New Roman"/>
          <w:sz w:val="24"/>
          <w:szCs w:val="24"/>
        </w:rPr>
      </w:pPr>
    </w:p>
    <w:p w14:paraId="00000037"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Merci aux deux bénéficiaires de la Maison des Femmes de Lyon qui ont accepté de nous partager leur histoire. Merci pour leur force, leurs mots, leur générosité. Vos récits ont été fondamentaux dans la construction de notre travail. </w:t>
      </w:r>
    </w:p>
    <w:p w14:paraId="00000038" w14:textId="77777777" w:rsidR="004E766C" w:rsidRDefault="004E766C">
      <w:pPr>
        <w:spacing w:line="240" w:lineRule="auto"/>
        <w:jc w:val="both"/>
        <w:rPr>
          <w:rFonts w:ascii="Times New Roman" w:eastAsia="Times New Roman" w:hAnsi="Times New Roman" w:cs="Times New Roman"/>
          <w:sz w:val="24"/>
          <w:szCs w:val="24"/>
        </w:rPr>
      </w:pPr>
    </w:p>
    <w:p w14:paraId="0000003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immense merci à la Maison des Femmes de Lyon. Nous remercions avant tout Fanny </w:t>
      </w:r>
      <w:proofErr w:type="spellStart"/>
      <w:r>
        <w:rPr>
          <w:rFonts w:ascii="Times New Roman" w:eastAsia="Times New Roman" w:hAnsi="Times New Roman" w:cs="Times New Roman"/>
          <w:sz w:val="24"/>
          <w:szCs w:val="24"/>
        </w:rPr>
        <w:t>Asselineau</w:t>
      </w:r>
      <w:proofErr w:type="spellEnd"/>
      <w:r>
        <w:rPr>
          <w:rFonts w:ascii="Times New Roman" w:eastAsia="Times New Roman" w:hAnsi="Times New Roman" w:cs="Times New Roman"/>
          <w:sz w:val="24"/>
          <w:szCs w:val="24"/>
        </w:rPr>
        <w:t xml:space="preserve"> pour sa confiance, sa vision de professionnelle, ses partages et ses retours aussi enrichissants que bienveillants. Merci également à chacune des professionnelles de la structure qui nous ont accordé leur temps, si précieux nous l’avons compris, et qui nous ont partagé leur expérience avec tant de sincérité. </w:t>
      </w:r>
    </w:p>
    <w:p w14:paraId="0000003A" w14:textId="77777777" w:rsidR="004E766C" w:rsidRDefault="004E766C">
      <w:pPr>
        <w:spacing w:line="240" w:lineRule="auto"/>
        <w:jc w:val="both"/>
        <w:rPr>
          <w:rFonts w:ascii="Times New Roman" w:eastAsia="Times New Roman" w:hAnsi="Times New Roman" w:cs="Times New Roman"/>
          <w:sz w:val="24"/>
          <w:szCs w:val="24"/>
        </w:rPr>
      </w:pPr>
    </w:p>
    <w:p w14:paraId="0000003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remerciement particulier à Sciences Po Lyon de nous donner accès au dispositif de la Public </w:t>
      </w:r>
      <w:proofErr w:type="spellStart"/>
      <w:r>
        <w:rPr>
          <w:rFonts w:ascii="Times New Roman" w:eastAsia="Times New Roman" w:hAnsi="Times New Roman" w:cs="Times New Roman"/>
          <w:sz w:val="24"/>
          <w:szCs w:val="24"/>
        </w:rPr>
        <w:t>Factory</w:t>
      </w:r>
      <w:proofErr w:type="spellEnd"/>
      <w:r>
        <w:rPr>
          <w:rFonts w:ascii="Times New Roman" w:eastAsia="Times New Roman" w:hAnsi="Times New Roman" w:cs="Times New Roman"/>
          <w:sz w:val="24"/>
          <w:szCs w:val="24"/>
        </w:rPr>
        <w:t xml:space="preserve">. Merci à Martine </w:t>
      </w:r>
      <w:proofErr w:type="spellStart"/>
      <w:r>
        <w:rPr>
          <w:rFonts w:ascii="Times New Roman" w:eastAsia="Times New Roman" w:hAnsi="Times New Roman" w:cs="Times New Roman"/>
          <w:sz w:val="24"/>
          <w:szCs w:val="24"/>
        </w:rPr>
        <w:t>Huyon</w:t>
      </w:r>
      <w:proofErr w:type="spellEnd"/>
      <w:r>
        <w:rPr>
          <w:rFonts w:ascii="Times New Roman" w:eastAsia="Times New Roman" w:hAnsi="Times New Roman" w:cs="Times New Roman"/>
          <w:sz w:val="24"/>
          <w:szCs w:val="24"/>
        </w:rPr>
        <w:t xml:space="preserve"> et Emma Joffre pour leurs sourires chaque mercredi, de prendre toujours le temps de répondre à nos interrogations et de trouver une solution à chaque problème. </w:t>
      </w:r>
    </w:p>
    <w:p w14:paraId="0000003C" w14:textId="77777777" w:rsidR="004E766C" w:rsidRDefault="004E766C">
      <w:pPr>
        <w:spacing w:line="240" w:lineRule="auto"/>
        <w:jc w:val="both"/>
        <w:rPr>
          <w:rFonts w:ascii="Times New Roman" w:eastAsia="Times New Roman" w:hAnsi="Times New Roman" w:cs="Times New Roman"/>
          <w:sz w:val="24"/>
          <w:szCs w:val="24"/>
        </w:rPr>
      </w:pPr>
    </w:p>
    <w:p w14:paraId="0000003D"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merci du fond du cœur à notre chère encadrante Muriel Salle. Merci pour votre implication, votre disponibilité, vos conseils et votre sens du mot. Merci aussi de nous avoir toujours </w:t>
      </w:r>
      <w:proofErr w:type="spellStart"/>
      <w:r>
        <w:rPr>
          <w:rFonts w:ascii="Times New Roman" w:eastAsia="Times New Roman" w:hAnsi="Times New Roman" w:cs="Times New Roman"/>
          <w:sz w:val="24"/>
          <w:szCs w:val="24"/>
        </w:rPr>
        <w:t>conduit·es</w:t>
      </w:r>
      <w:proofErr w:type="spellEnd"/>
      <w:r>
        <w:rPr>
          <w:rFonts w:ascii="Times New Roman" w:eastAsia="Times New Roman" w:hAnsi="Times New Roman" w:cs="Times New Roman"/>
          <w:sz w:val="24"/>
          <w:szCs w:val="24"/>
        </w:rPr>
        <w:t xml:space="preserve"> à nous remettre en question, à réfléchir à chaque terme que nous avons pu mobiliser, et de nous avoir guidé dans notre travail avec beaucoup, beaucoup de pédagogie. </w:t>
      </w:r>
    </w:p>
    <w:p w14:paraId="0000003E" w14:textId="77777777" w:rsidR="004E766C"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4167C5CB" wp14:editId="451BD4B6">
            <wp:extent cx="4494375" cy="2533364"/>
            <wp:effectExtent l="0" t="0" r="0" b="0"/>
            <wp:docPr id="4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7"/>
                    <a:srcRect t="23947"/>
                    <a:stretch>
                      <a:fillRect/>
                    </a:stretch>
                  </pic:blipFill>
                  <pic:spPr>
                    <a:xfrm>
                      <a:off x="0" y="0"/>
                      <a:ext cx="4494375" cy="2533364"/>
                    </a:xfrm>
                    <a:prstGeom prst="rect">
                      <a:avLst/>
                    </a:prstGeom>
                    <a:ln/>
                  </pic:spPr>
                </pic:pic>
              </a:graphicData>
            </a:graphic>
          </wp:inline>
        </w:drawing>
      </w:r>
    </w:p>
    <w:p w14:paraId="0000003F"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Notre groupe (de gauche à droite) : Muriel, Ambre, Jade, Axel, Charlotte, Axelle, Myriam, Pénélope, Alice, Noé</w:t>
      </w:r>
    </w:p>
    <w:p w14:paraId="00000040" w14:textId="77777777" w:rsidR="004E766C" w:rsidRDefault="00000000">
      <w:pPr>
        <w:pStyle w:val="Titre1"/>
        <w:jc w:val="center"/>
        <w:rPr>
          <w:i/>
          <w:iCs/>
        </w:rPr>
      </w:pPr>
      <w:bookmarkStart w:id="23" w:name="_heading=h.44eyh5gsz1an" w:colFirst="0" w:colLast="0"/>
      <w:bookmarkEnd w:id="23"/>
      <w:r>
        <w:lastRenderedPageBreak/>
        <w:t>AVANT PROPOS</w:t>
      </w:r>
    </w:p>
    <w:p w14:paraId="00000041" w14:textId="77777777" w:rsidR="004E766C"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rapport est le fruit d’un travail de 9 </w:t>
      </w:r>
      <w:proofErr w:type="spellStart"/>
      <w:proofErr w:type="gramStart"/>
      <w:r>
        <w:rPr>
          <w:rFonts w:ascii="Times New Roman" w:eastAsia="Times New Roman" w:hAnsi="Times New Roman" w:cs="Times New Roman"/>
          <w:sz w:val="24"/>
          <w:szCs w:val="24"/>
        </w:rPr>
        <w:t>étudiant</w:t>
      </w:r>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mené pendant 7 mois autour de la Maison des Femmes de Lyon (MDF). Avant de présenter les résultats et les analyses, il nous semble nécessaire de préciser certains choix d’écriture ainsi que les limites et conditions de réalisation de notre enquête.</w:t>
      </w:r>
    </w:p>
    <w:p w14:paraId="00000042"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Nous avons choisi d’accorder les termes au féminin lorsqu’ils désignent les professionnelles et les bénéficiaires de la Maison des Femmes. Ce choix reflète la réalité de la structure, dont l’équipe et le public accueilli sont, à ce jour, exclusivement composés de femmes. Pour les thématiques plus globales, nous avons privilégié l’écriture inclusive afin de maintenir une portée générale.</w:t>
      </w:r>
    </w:p>
    <w:p w14:paraId="00000043"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ailleurs, nous avons choisi d’utiliser le terme de « bénéficiaires » pour désigner les femmes accompagnées par la MDF. Ce terme s’est imposé naturellement au fil de nos échanges et de notre travail. Nous sommes toutefois </w:t>
      </w:r>
      <w:proofErr w:type="spellStart"/>
      <w:proofErr w:type="gramStart"/>
      <w:r>
        <w:rPr>
          <w:rFonts w:ascii="Times New Roman" w:eastAsia="Times New Roman" w:hAnsi="Times New Roman" w:cs="Times New Roman"/>
          <w:sz w:val="24"/>
          <w:szCs w:val="24"/>
        </w:rPr>
        <w:t>conscient</w:t>
      </w:r>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que cette notion peut suggérer une relation asymétrique entre celles qui offrent l’accompagnement et celles qui le reçoivent. Or, cette hiérarchie ne reflète pas l’esprit de la MDF, qui cherche au contraire à développer des formes d’accompagnement fondées sur l’écoute, l’autonomie et la reconnaissance des parcours individuels. </w:t>
      </w:r>
    </w:p>
    <w:p w14:paraId="00000044"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 manière ponctuelle, nous utilisons également l’expression « femmes victimes de violences » pour désigner les femmes ou toute personne se reconnaissant comme telle susceptibles d’être orientées vers la MDF. Nous sommes néanmoins </w:t>
      </w:r>
      <w:proofErr w:type="spellStart"/>
      <w:proofErr w:type="gramStart"/>
      <w:r>
        <w:rPr>
          <w:rFonts w:ascii="Times New Roman" w:eastAsia="Times New Roman" w:hAnsi="Times New Roman" w:cs="Times New Roman"/>
          <w:sz w:val="24"/>
          <w:szCs w:val="24"/>
        </w:rPr>
        <w:t>conscient</w:t>
      </w:r>
      <w:proofErr w:type="gramEnd"/>
      <w:r>
        <w:rPr>
          <w:rFonts w:ascii="Times New Roman" w:eastAsia="Times New Roman" w:hAnsi="Times New Roman" w:cs="Times New Roman"/>
          <w:sz w:val="24"/>
          <w:szCs w:val="24"/>
        </w:rPr>
        <w:t>·es</w:t>
      </w:r>
      <w:proofErr w:type="spellEnd"/>
      <w:r>
        <w:rPr>
          <w:rFonts w:ascii="Times New Roman" w:eastAsia="Times New Roman" w:hAnsi="Times New Roman" w:cs="Times New Roman"/>
          <w:sz w:val="24"/>
          <w:szCs w:val="24"/>
        </w:rPr>
        <w:t xml:space="preserve"> du caractère potentiellement réducteur de cette expression. Elle ne saurait en aucun cas résumer l’identité ou le parcours des femmes concernées, ni homogénéiser des situations de vie qui sont en réalité extrêmement diverses. Son utilisation vise simplement à rendre compte des situations auxquelles la structure est amenée à répondre.</w:t>
      </w:r>
    </w:p>
    <w:p w14:paraId="00000045"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Enfin, nous voulons souligner certaines limites liées à notre démarche d’enquête. Notre travail s’est appuyé sur plusieurs méthodes qualitatives : observations, entretiens avec des professionnelles et des bénéficiaires, ainsi qu’un travail d’analyse et de comparaison auprès d’autres structures. Comme toute enquête de terrain, ces méthodes comportent des contraintes : un petit nombre d’entretiens, des participations variables des professionnelles ou encore un accès limité à certaines situations d’accueil. De plus, la diversité de nos parcours académiques et de nos engagements féministes a parfois conduit à des approches et des sensibilités différentes face aux enjeux étudiés. Loin de constituer un obstacle, cette pluralité de regards a néanmoins nécessité un travail constant de mise en discussion et de clarification collective.</w:t>
      </w:r>
    </w:p>
    <w:p w14:paraId="00000046"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éléments constituent autant de points d’attention qui accompagnent la lecture de ce rapport et permettent de mieux situer les conditions dans lesquelles il a été réalisé.</w:t>
      </w:r>
    </w:p>
    <w:p w14:paraId="00000047"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finir, nous tenons à affirmer notre admiration envers l’équipe de la MDF. Nous avons découvert une structure essentielle à la lutte contre les violences faites aux femmes, avec une attention particulière à « faire le mieux ». Les discours des bénéficiaires ont été particulièrement émouvants, soulignant à quel point le travail de ces femmes est remarquable et honorable, les professionnelles les ont « sauvées de la mort » et ont « été une famille » pour elles. Nous proposons ici une analyse pour porter conseil à la MDF afin de l’accompagner dans ses réflexions, et tenons à saluer les initiatives remarquables déjà déployées et à souligner l’engagement exemplaire des professionnelles sur le terrain. </w:t>
      </w:r>
    </w:p>
    <w:p w14:paraId="00000048" w14:textId="77777777" w:rsidR="004E766C" w:rsidRDefault="00000000">
      <w:pPr>
        <w:spacing w:before="240" w:after="240" w:line="240" w:lineRule="auto"/>
        <w:jc w:val="both"/>
        <w:rPr>
          <w:rFonts w:ascii="Times New Roman" w:eastAsia="Times New Roman" w:hAnsi="Times New Roman" w:cs="Times New Roman"/>
          <w:b/>
          <w:bCs/>
          <w:sz w:val="21"/>
          <w:szCs w:val="21"/>
          <w:u w:val="single"/>
        </w:rPr>
      </w:pPr>
      <w:r>
        <w:rPr>
          <w:rFonts w:ascii="Times New Roman" w:eastAsia="Times New Roman" w:hAnsi="Times New Roman" w:cs="Times New Roman"/>
          <w:b/>
          <w:bCs/>
          <w:sz w:val="21"/>
          <w:szCs w:val="21"/>
          <w:u w:val="single"/>
        </w:rPr>
        <w:lastRenderedPageBreak/>
        <w:t xml:space="preserve">LISTE DES SIGLES UTILISÉS : </w:t>
      </w:r>
    </w:p>
    <w:p w14:paraId="00000049" w14:textId="77777777" w:rsidR="004E766C" w:rsidRDefault="00000000">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MDF : Maison des Femmes </w:t>
      </w:r>
    </w:p>
    <w:p w14:paraId="0000004A" w14:textId="77777777" w:rsidR="004E766C" w:rsidRDefault="00000000">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HCL : Hospices Civils de Lyon</w:t>
      </w:r>
    </w:p>
    <w:p w14:paraId="0000004B" w14:textId="77777777" w:rsidR="004E766C" w:rsidRDefault="00000000">
      <w:pPr>
        <w:spacing w:before="160" w:after="1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CIDFF : Centre d’information sur les droits des femmes et des familles</w:t>
      </w:r>
    </w:p>
    <w:p w14:paraId="0000004C"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VIFFIL-SOS Femmes : Violences Intra Familiales Femmes Informations Liberté SOS Femmes</w:t>
      </w:r>
    </w:p>
    <w:p w14:paraId="0000004D" w14:textId="77777777" w:rsidR="004E766C" w:rsidRDefault="004E766C">
      <w:pPr>
        <w:spacing w:before="240" w:after="240" w:line="240" w:lineRule="auto"/>
        <w:jc w:val="both"/>
        <w:rPr>
          <w:rFonts w:ascii="Times New Roman" w:eastAsia="Times New Roman" w:hAnsi="Times New Roman" w:cs="Times New Roman"/>
          <w:b/>
          <w:bCs/>
          <w:sz w:val="24"/>
          <w:szCs w:val="24"/>
          <w:u w:val="single"/>
        </w:rPr>
      </w:pPr>
    </w:p>
    <w:p w14:paraId="0000004E" w14:textId="77777777" w:rsidR="004E766C" w:rsidRDefault="00000000">
      <w:pPr>
        <w:spacing w:before="240" w:after="240" w:line="240" w:lineRule="auto"/>
        <w:jc w:val="both"/>
        <w:rPr>
          <w:rFonts w:ascii="Times New Roman" w:eastAsia="Times New Roman" w:hAnsi="Times New Roman" w:cs="Times New Roman"/>
          <w:b/>
          <w:bCs/>
          <w:sz w:val="24"/>
          <w:szCs w:val="24"/>
        </w:rPr>
      </w:pPr>
      <w:r>
        <w:br w:type="page"/>
      </w:r>
      <w:r>
        <w:rPr>
          <w:rFonts w:ascii="Times New Roman" w:eastAsia="Times New Roman" w:hAnsi="Times New Roman" w:cs="Times New Roman"/>
          <w:b/>
          <w:bCs/>
          <w:sz w:val="24"/>
          <w:szCs w:val="24"/>
          <w:u w:val="single"/>
        </w:rPr>
        <w:lastRenderedPageBreak/>
        <w:t xml:space="preserve">SOMMAIRE </w:t>
      </w:r>
    </w:p>
    <w:sdt>
      <w:sdtPr>
        <w:id w:val="-1738316213"/>
        <w:docPartObj>
          <w:docPartGallery w:val="Table of Contents"/>
          <w:docPartUnique/>
        </w:docPartObj>
      </w:sdtPr>
      <w:sdtContent>
        <w:p w14:paraId="0000004F" w14:textId="77777777" w:rsidR="004E766C" w:rsidRDefault="00000000">
          <w:pPr>
            <w:widowControl w:val="0"/>
            <w:tabs>
              <w:tab w:val="right" w:pos="12000"/>
            </w:tabs>
            <w:spacing w:before="60" w:line="240" w:lineRule="auto"/>
            <w:ind w:left="360"/>
            <w:rPr>
              <w:color w:val="000000"/>
            </w:rPr>
          </w:pPr>
          <w:r>
            <w:fldChar w:fldCharType="begin"/>
          </w:r>
          <w:r>
            <w:instrText xml:space="preserve"> TOC \h \u \z \t "Heading 1,2,Heading 2,2,Heading 3,3,Heading 4,4,Heading 5,5,Heading 6,6,"</w:instrText>
          </w:r>
          <w:r>
            <w:fldChar w:fldCharType="separate"/>
          </w:r>
          <w:hyperlink w:anchor="_heading=h.40n73rp7zdxs">
            <w:r>
              <w:rPr>
                <w:rFonts w:ascii="Times New Roman" w:eastAsia="Times New Roman" w:hAnsi="Times New Roman" w:cs="Times New Roman"/>
                <w:b/>
                <w:bCs/>
                <w:color w:val="000000"/>
              </w:rPr>
              <w:t>REMERCIEMENTS</w:t>
            </w:r>
            <w:r>
              <w:rPr>
                <w:rFonts w:ascii="Times New Roman" w:eastAsia="Times New Roman" w:hAnsi="Times New Roman" w:cs="Times New Roman"/>
                <w:b/>
                <w:bCs/>
                <w:color w:val="000000"/>
              </w:rPr>
              <w:tab/>
              <w:t>1</w:t>
            </w:r>
          </w:hyperlink>
        </w:p>
        <w:p w14:paraId="00000050" w14:textId="77777777" w:rsidR="004E766C" w:rsidRDefault="00000000">
          <w:pPr>
            <w:widowControl w:val="0"/>
            <w:tabs>
              <w:tab w:val="right" w:pos="12000"/>
            </w:tabs>
            <w:spacing w:before="60" w:line="240" w:lineRule="auto"/>
            <w:ind w:left="360"/>
            <w:rPr>
              <w:color w:val="000000"/>
            </w:rPr>
          </w:pPr>
          <w:hyperlink w:anchor="_heading=h.44eyh5gsz1an">
            <w:r>
              <w:rPr>
                <w:rFonts w:ascii="Times New Roman" w:eastAsia="Times New Roman" w:hAnsi="Times New Roman" w:cs="Times New Roman"/>
                <w:b/>
                <w:bCs/>
                <w:color w:val="000000"/>
              </w:rPr>
              <w:t>AVANT PROPOS</w:t>
            </w:r>
            <w:r>
              <w:rPr>
                <w:rFonts w:ascii="Times New Roman" w:eastAsia="Times New Roman" w:hAnsi="Times New Roman" w:cs="Times New Roman"/>
                <w:b/>
                <w:bCs/>
                <w:color w:val="000000"/>
              </w:rPr>
              <w:tab/>
              <w:t>2</w:t>
            </w:r>
          </w:hyperlink>
        </w:p>
        <w:p w14:paraId="00000051" w14:textId="77777777" w:rsidR="004E766C" w:rsidRDefault="00000000">
          <w:pPr>
            <w:widowControl w:val="0"/>
            <w:tabs>
              <w:tab w:val="right" w:pos="12000"/>
            </w:tabs>
            <w:spacing w:before="60" w:line="240" w:lineRule="auto"/>
            <w:ind w:left="360"/>
            <w:rPr>
              <w:color w:val="000000"/>
            </w:rPr>
          </w:pPr>
          <w:hyperlink w:anchor="_heading=h.i2jfscc65pdk">
            <w:r>
              <w:rPr>
                <w:rFonts w:ascii="Times New Roman" w:eastAsia="Times New Roman" w:hAnsi="Times New Roman" w:cs="Times New Roman"/>
                <w:b/>
                <w:bCs/>
                <w:color w:val="000000"/>
              </w:rPr>
              <w:t>INTRODUCTION</w:t>
            </w:r>
            <w:r>
              <w:rPr>
                <w:rFonts w:ascii="Times New Roman" w:eastAsia="Times New Roman" w:hAnsi="Times New Roman" w:cs="Times New Roman"/>
                <w:b/>
                <w:bCs/>
                <w:color w:val="000000"/>
              </w:rPr>
              <w:tab/>
              <w:t>7</w:t>
            </w:r>
          </w:hyperlink>
        </w:p>
        <w:p w14:paraId="00000052" w14:textId="77777777" w:rsidR="004E766C" w:rsidRDefault="00000000">
          <w:pPr>
            <w:widowControl w:val="0"/>
            <w:tabs>
              <w:tab w:val="right" w:pos="12000"/>
            </w:tabs>
            <w:spacing w:before="60" w:line="240" w:lineRule="auto"/>
            <w:ind w:left="360"/>
            <w:rPr>
              <w:color w:val="000000"/>
            </w:rPr>
          </w:pPr>
          <w:hyperlink w:anchor="_heading=h.5nzieelohj95">
            <w:r>
              <w:rPr>
                <w:rFonts w:ascii="Times New Roman" w:eastAsia="Times New Roman" w:hAnsi="Times New Roman" w:cs="Times New Roman"/>
                <w:b/>
                <w:bCs/>
                <w:color w:val="000000"/>
              </w:rPr>
              <w:t>ORGANISATION</w:t>
            </w:r>
            <w:r>
              <w:rPr>
                <w:rFonts w:ascii="Times New Roman" w:eastAsia="Times New Roman" w:hAnsi="Times New Roman" w:cs="Times New Roman"/>
                <w:b/>
                <w:bCs/>
                <w:color w:val="000000"/>
              </w:rPr>
              <w:tab/>
              <w:t>8</w:t>
            </w:r>
          </w:hyperlink>
        </w:p>
        <w:p w14:paraId="00000053" w14:textId="77777777" w:rsidR="004E766C" w:rsidRDefault="004E766C">
          <w:pPr>
            <w:widowControl w:val="0"/>
            <w:tabs>
              <w:tab w:val="right" w:pos="12000"/>
            </w:tabs>
            <w:spacing w:before="60" w:line="240" w:lineRule="auto"/>
            <w:ind w:left="360"/>
            <w:rPr>
              <w:color w:val="000000"/>
            </w:rPr>
          </w:pPr>
        </w:p>
        <w:p w14:paraId="00000054" w14:textId="77777777" w:rsidR="004E766C" w:rsidRDefault="00000000">
          <w:pPr>
            <w:widowControl w:val="0"/>
            <w:tabs>
              <w:tab w:val="right" w:pos="12000"/>
            </w:tabs>
            <w:spacing w:before="60" w:line="240" w:lineRule="auto"/>
            <w:ind w:left="360"/>
            <w:rPr>
              <w:color w:val="000000"/>
            </w:rPr>
          </w:pPr>
          <w:hyperlink w:anchor="_heading=h.oa4ke0agjxho">
            <w:r>
              <w:rPr>
                <w:rFonts w:ascii="Times New Roman" w:eastAsia="Times New Roman" w:hAnsi="Times New Roman" w:cs="Times New Roman"/>
                <w:b/>
                <w:bCs/>
                <w:color w:val="000000"/>
              </w:rPr>
              <w:t>PARTIE 1 : ÉTAT DE L’ART</w:t>
            </w:r>
            <w:r>
              <w:rPr>
                <w:rFonts w:ascii="Times New Roman" w:eastAsia="Times New Roman" w:hAnsi="Times New Roman" w:cs="Times New Roman"/>
                <w:b/>
                <w:bCs/>
                <w:color w:val="000000"/>
              </w:rPr>
              <w:tab/>
              <w:t>10</w:t>
            </w:r>
          </w:hyperlink>
        </w:p>
        <w:p w14:paraId="00000055" w14:textId="77777777" w:rsidR="004E766C" w:rsidRDefault="00000000">
          <w:pPr>
            <w:widowControl w:val="0"/>
            <w:tabs>
              <w:tab w:val="right" w:pos="12000"/>
            </w:tabs>
            <w:spacing w:before="60" w:line="240" w:lineRule="auto"/>
            <w:ind w:left="360"/>
            <w:rPr>
              <w:color w:val="000000"/>
            </w:rPr>
          </w:pPr>
          <w:hyperlink w:anchor="_heading=h.ehpl80a3b65u">
            <w:r>
              <w:rPr>
                <w:rFonts w:ascii="Times New Roman" w:eastAsia="Times New Roman" w:hAnsi="Times New Roman" w:cs="Times New Roman"/>
                <w:color w:val="000000"/>
              </w:rPr>
              <w:t>I. Encadrement des notions, approches et concepts : un nécessaire détour académique</w:t>
            </w:r>
            <w:r>
              <w:rPr>
                <w:rFonts w:ascii="Times New Roman" w:eastAsia="Times New Roman" w:hAnsi="Times New Roman" w:cs="Times New Roman"/>
                <w:color w:val="000000"/>
              </w:rPr>
              <w:tab/>
              <w:t>10</w:t>
            </w:r>
          </w:hyperlink>
        </w:p>
        <w:p w14:paraId="00000056" w14:textId="77777777" w:rsidR="004E766C" w:rsidRDefault="00000000">
          <w:pPr>
            <w:widowControl w:val="0"/>
            <w:tabs>
              <w:tab w:val="right" w:pos="12000"/>
            </w:tabs>
            <w:spacing w:before="60" w:line="240" w:lineRule="auto"/>
            <w:ind w:left="360"/>
            <w:rPr>
              <w:color w:val="000000"/>
            </w:rPr>
          </w:pPr>
          <w:hyperlink w:anchor="_heading=h.xr9tc66bpgic">
            <w:r>
              <w:rPr>
                <w:rFonts w:ascii="Times New Roman" w:eastAsia="Times New Roman" w:hAnsi="Times New Roman" w:cs="Times New Roman"/>
                <w:color w:val="000000"/>
              </w:rPr>
              <w:t>II. Construire une culture commune malgré la diversité des professions</w:t>
            </w:r>
            <w:r>
              <w:rPr>
                <w:rFonts w:ascii="Times New Roman" w:eastAsia="Times New Roman" w:hAnsi="Times New Roman" w:cs="Times New Roman"/>
                <w:color w:val="000000"/>
              </w:rPr>
              <w:tab/>
              <w:t>14</w:t>
            </w:r>
          </w:hyperlink>
        </w:p>
        <w:p w14:paraId="00000057" w14:textId="77777777" w:rsidR="004E766C" w:rsidRDefault="00000000">
          <w:pPr>
            <w:widowControl w:val="0"/>
            <w:tabs>
              <w:tab w:val="right" w:pos="12000"/>
            </w:tabs>
            <w:spacing w:before="60" w:line="240" w:lineRule="auto"/>
            <w:ind w:left="360"/>
            <w:rPr>
              <w:color w:val="000000"/>
            </w:rPr>
          </w:pPr>
          <w:hyperlink w:anchor="_heading=h.1sy6826kc2q">
            <w:r>
              <w:rPr>
                <w:rFonts w:ascii="Times New Roman" w:eastAsia="Times New Roman" w:hAnsi="Times New Roman" w:cs="Times New Roman"/>
                <w:color w:val="000000"/>
              </w:rPr>
              <w:t>III. De l'asymétrie éthique à la vulnérabilité située : pour une hospitalité intersectionnelle</w:t>
            </w:r>
            <w:r>
              <w:rPr>
                <w:rFonts w:ascii="Times New Roman" w:eastAsia="Times New Roman" w:hAnsi="Times New Roman" w:cs="Times New Roman"/>
                <w:color w:val="000000"/>
              </w:rPr>
              <w:tab/>
              <w:t>18</w:t>
            </w:r>
          </w:hyperlink>
        </w:p>
        <w:p w14:paraId="00000058" w14:textId="77777777" w:rsidR="004E766C" w:rsidRDefault="004E766C">
          <w:pPr>
            <w:widowControl w:val="0"/>
            <w:tabs>
              <w:tab w:val="right" w:pos="12000"/>
            </w:tabs>
            <w:spacing w:before="60" w:line="240" w:lineRule="auto"/>
            <w:ind w:left="720"/>
            <w:rPr>
              <w:color w:val="000000"/>
            </w:rPr>
          </w:pPr>
        </w:p>
        <w:p w14:paraId="00000059" w14:textId="77777777" w:rsidR="004E766C" w:rsidRDefault="00000000">
          <w:pPr>
            <w:widowControl w:val="0"/>
            <w:tabs>
              <w:tab w:val="right" w:pos="12000"/>
            </w:tabs>
            <w:spacing w:before="60" w:line="240" w:lineRule="auto"/>
            <w:ind w:left="360"/>
            <w:rPr>
              <w:color w:val="000000"/>
            </w:rPr>
          </w:pPr>
          <w:hyperlink w:anchor="_heading=h.rawcem8u5v4o">
            <w:r>
              <w:rPr>
                <w:rFonts w:ascii="Times New Roman" w:eastAsia="Times New Roman" w:hAnsi="Times New Roman" w:cs="Times New Roman"/>
                <w:b/>
                <w:bCs/>
                <w:color w:val="000000"/>
              </w:rPr>
              <w:t>PARTIE 2 : Analyse empirique de l’hospitalité : entre pratiques professionnelles, matérialité du lieu et engagements féministes.</w:t>
            </w:r>
            <w:r>
              <w:rPr>
                <w:rFonts w:ascii="Times New Roman" w:eastAsia="Times New Roman" w:hAnsi="Times New Roman" w:cs="Times New Roman"/>
                <w:b/>
                <w:bCs/>
                <w:color w:val="000000"/>
              </w:rPr>
              <w:tab/>
              <w:t>21</w:t>
            </w:r>
          </w:hyperlink>
        </w:p>
        <w:p w14:paraId="0000005A" w14:textId="77777777" w:rsidR="004E766C" w:rsidRDefault="00000000">
          <w:pPr>
            <w:widowControl w:val="0"/>
            <w:tabs>
              <w:tab w:val="right" w:pos="12000"/>
            </w:tabs>
            <w:spacing w:before="60" w:line="240" w:lineRule="auto"/>
            <w:ind w:left="360"/>
            <w:rPr>
              <w:color w:val="000000"/>
            </w:rPr>
          </w:pPr>
          <w:hyperlink w:anchor="_heading=h.9fptaaj5m2ox">
            <w:r>
              <w:rPr>
                <w:rFonts w:ascii="Times New Roman" w:eastAsia="Times New Roman" w:hAnsi="Times New Roman" w:cs="Times New Roman"/>
                <w:color w:val="000000"/>
              </w:rPr>
              <w:t>I. L’hospitalité en actes : sédimentation d’une culture professionnelle en construction</w:t>
            </w:r>
            <w:r>
              <w:rPr>
                <w:rFonts w:ascii="Times New Roman" w:eastAsia="Times New Roman" w:hAnsi="Times New Roman" w:cs="Times New Roman"/>
                <w:color w:val="000000"/>
              </w:rPr>
              <w:tab/>
              <w:t>22</w:t>
            </w:r>
          </w:hyperlink>
        </w:p>
        <w:p w14:paraId="0000005B" w14:textId="77777777" w:rsidR="004E766C" w:rsidRDefault="00000000">
          <w:pPr>
            <w:widowControl w:val="0"/>
            <w:tabs>
              <w:tab w:val="right" w:pos="12000"/>
            </w:tabs>
            <w:spacing w:before="60" w:line="240" w:lineRule="auto"/>
            <w:ind w:left="360"/>
            <w:rPr>
              <w:color w:val="000000"/>
            </w:rPr>
          </w:pPr>
          <w:hyperlink w:anchor="_heading=h.pqhde6ppfm4">
            <w:r>
              <w:rPr>
                <w:rFonts w:ascii="Times New Roman" w:eastAsia="Times New Roman" w:hAnsi="Times New Roman" w:cs="Times New Roman"/>
                <w:color w:val="000000"/>
              </w:rPr>
              <w:t>II. « Habiter » la Maison des Femmes : une hospitalité qui prend soin par le décor, le lien et le collectif</w:t>
            </w:r>
            <w:r>
              <w:rPr>
                <w:rFonts w:ascii="Times New Roman" w:eastAsia="Times New Roman" w:hAnsi="Times New Roman" w:cs="Times New Roman"/>
                <w:color w:val="000000"/>
              </w:rPr>
              <w:tab/>
              <w:t>26</w:t>
            </w:r>
          </w:hyperlink>
        </w:p>
        <w:p w14:paraId="0000005C" w14:textId="77777777" w:rsidR="004E766C" w:rsidRDefault="00000000">
          <w:pPr>
            <w:widowControl w:val="0"/>
            <w:tabs>
              <w:tab w:val="right" w:pos="12000"/>
            </w:tabs>
            <w:spacing w:before="60" w:line="240" w:lineRule="auto"/>
            <w:ind w:left="360"/>
            <w:rPr>
              <w:color w:val="000000"/>
            </w:rPr>
          </w:pPr>
          <w:hyperlink w:anchor="_heading=h.8qlujhicftir">
            <w:r>
              <w:rPr>
                <w:rFonts w:ascii="Times New Roman" w:eastAsia="Times New Roman" w:hAnsi="Times New Roman" w:cs="Times New Roman"/>
                <w:color w:val="000000"/>
              </w:rPr>
              <w:t>III. La Maison des Femmes : vers un refuge « d’inspiration féministe »</w:t>
            </w:r>
            <w:r>
              <w:rPr>
                <w:rFonts w:ascii="Times New Roman" w:eastAsia="Times New Roman" w:hAnsi="Times New Roman" w:cs="Times New Roman"/>
                <w:color w:val="000000"/>
              </w:rPr>
              <w:tab/>
              <w:t>30</w:t>
            </w:r>
          </w:hyperlink>
        </w:p>
        <w:p w14:paraId="0000005D" w14:textId="77777777" w:rsidR="004E766C" w:rsidRDefault="004E766C">
          <w:pPr>
            <w:widowControl w:val="0"/>
            <w:tabs>
              <w:tab w:val="right" w:pos="12000"/>
            </w:tabs>
            <w:spacing w:before="60" w:line="240" w:lineRule="auto"/>
            <w:ind w:left="720"/>
            <w:rPr>
              <w:color w:val="000000"/>
            </w:rPr>
          </w:pPr>
        </w:p>
        <w:p w14:paraId="0000005E" w14:textId="77777777" w:rsidR="004E766C" w:rsidRDefault="00000000">
          <w:pPr>
            <w:widowControl w:val="0"/>
            <w:tabs>
              <w:tab w:val="right" w:pos="12000"/>
            </w:tabs>
            <w:spacing w:before="60" w:line="240" w:lineRule="auto"/>
            <w:ind w:left="360"/>
          </w:pPr>
          <w:hyperlink w:anchor="_heading=h.vvsistxl57w1">
            <w:r>
              <w:rPr>
                <w:rFonts w:ascii="Times New Roman" w:eastAsia="Times New Roman" w:hAnsi="Times New Roman" w:cs="Times New Roman"/>
                <w:b/>
                <w:bCs/>
                <w:color w:val="000000"/>
              </w:rPr>
              <w:t>PARTIE 3 : Expertise - Charte pour une culture commune de l'hospitalité</w:t>
            </w:r>
            <w:r>
              <w:rPr>
                <w:rFonts w:ascii="Times New Roman" w:eastAsia="Times New Roman" w:hAnsi="Times New Roman" w:cs="Times New Roman"/>
                <w:b/>
                <w:bCs/>
                <w:color w:val="000000"/>
              </w:rPr>
              <w:tab/>
              <w:t>35</w:t>
            </w:r>
          </w:hyperlink>
        </w:p>
        <w:p w14:paraId="0000005F" w14:textId="77777777" w:rsidR="004E766C" w:rsidRDefault="004E766C">
          <w:pPr>
            <w:widowControl w:val="0"/>
            <w:tabs>
              <w:tab w:val="right" w:pos="12000"/>
            </w:tabs>
            <w:spacing w:before="60" w:line="240" w:lineRule="auto"/>
            <w:ind w:left="360"/>
          </w:pPr>
        </w:p>
        <w:p w14:paraId="00000060" w14:textId="77777777" w:rsidR="004E766C" w:rsidRDefault="00000000">
          <w:pPr>
            <w:widowControl w:val="0"/>
            <w:tabs>
              <w:tab w:val="right" w:pos="12000"/>
            </w:tabs>
            <w:spacing w:before="60" w:line="240" w:lineRule="auto"/>
            <w:ind w:left="360"/>
            <w:rPr>
              <w:color w:val="000000"/>
            </w:rPr>
          </w:pPr>
          <w:hyperlink w:anchor="_heading=h.iyvnksww5wfu">
            <w:r>
              <w:rPr>
                <w:rFonts w:ascii="Times New Roman" w:eastAsia="Times New Roman" w:hAnsi="Times New Roman" w:cs="Times New Roman"/>
                <w:b/>
                <w:bCs/>
                <w:color w:val="000000"/>
              </w:rPr>
              <w:t>CONCLUSION</w:t>
            </w:r>
            <w:r>
              <w:rPr>
                <w:rFonts w:ascii="Times New Roman" w:eastAsia="Times New Roman" w:hAnsi="Times New Roman" w:cs="Times New Roman"/>
                <w:b/>
                <w:bCs/>
                <w:color w:val="000000"/>
              </w:rPr>
              <w:tab/>
              <w:t>41</w:t>
            </w:r>
          </w:hyperlink>
        </w:p>
        <w:p w14:paraId="00000061" w14:textId="77777777" w:rsidR="004E766C" w:rsidRDefault="00000000">
          <w:pPr>
            <w:widowControl w:val="0"/>
            <w:tabs>
              <w:tab w:val="right" w:pos="12000"/>
            </w:tabs>
            <w:spacing w:before="60" w:line="240" w:lineRule="auto"/>
            <w:ind w:left="360"/>
            <w:rPr>
              <w:color w:val="000000"/>
            </w:rPr>
          </w:pPr>
          <w:hyperlink w:anchor="_heading=h.k5d8xui2ah8o">
            <w:r>
              <w:rPr>
                <w:rFonts w:ascii="Times New Roman" w:eastAsia="Times New Roman" w:hAnsi="Times New Roman" w:cs="Times New Roman"/>
                <w:b/>
                <w:bCs/>
                <w:color w:val="000000"/>
              </w:rPr>
              <w:t>ANNEXES</w:t>
            </w:r>
            <w:r>
              <w:rPr>
                <w:rFonts w:ascii="Times New Roman" w:eastAsia="Times New Roman" w:hAnsi="Times New Roman" w:cs="Times New Roman"/>
                <w:b/>
                <w:bCs/>
                <w:color w:val="000000"/>
              </w:rPr>
              <w:tab/>
              <w:t>42</w:t>
            </w:r>
          </w:hyperlink>
        </w:p>
        <w:p w14:paraId="00000062" w14:textId="77777777" w:rsidR="004E766C" w:rsidRDefault="00000000">
          <w:pPr>
            <w:widowControl w:val="0"/>
            <w:tabs>
              <w:tab w:val="right" w:pos="12000"/>
            </w:tabs>
            <w:spacing w:before="60" w:line="240" w:lineRule="auto"/>
            <w:ind w:left="360"/>
            <w:rPr>
              <w:b/>
              <w:bCs/>
              <w:color w:val="000000"/>
            </w:rPr>
          </w:pPr>
          <w:hyperlink w:anchor="_heading=h.noj7it87glsm">
            <w:r>
              <w:rPr>
                <w:rFonts w:ascii="Times New Roman" w:eastAsia="Times New Roman" w:hAnsi="Times New Roman" w:cs="Times New Roman"/>
                <w:b/>
                <w:bCs/>
                <w:color w:val="000000"/>
              </w:rPr>
              <w:t>BIBLIOGRAPHIE</w:t>
            </w:r>
            <w:r>
              <w:rPr>
                <w:rFonts w:ascii="Times New Roman" w:eastAsia="Times New Roman" w:hAnsi="Times New Roman" w:cs="Times New Roman"/>
                <w:b/>
                <w:bCs/>
                <w:color w:val="000000"/>
              </w:rPr>
              <w:tab/>
              <w:t>167</w:t>
            </w:r>
          </w:hyperlink>
        </w:p>
        <w:p w14:paraId="00000063" w14:textId="77777777" w:rsidR="004E766C" w:rsidRDefault="00000000">
          <w:pPr>
            <w:widowControl w:val="0"/>
            <w:tabs>
              <w:tab w:val="right" w:pos="12000"/>
            </w:tabs>
            <w:spacing w:before="60" w:line="240" w:lineRule="auto"/>
            <w:ind w:left="360"/>
            <w:rPr>
              <w:b/>
              <w:bCs/>
              <w:color w:val="000000"/>
            </w:rPr>
          </w:pPr>
          <w:hyperlink w:anchor="_heading=h.3nxd862i6yam">
            <w:r>
              <w:rPr>
                <w:rFonts w:ascii="Times New Roman" w:eastAsia="Times New Roman" w:hAnsi="Times New Roman" w:cs="Times New Roman"/>
                <w:b/>
                <w:bCs/>
              </w:rPr>
              <w:t>RÉSUMÉ</w:t>
            </w:r>
          </w:hyperlink>
          <w:hyperlink w:anchor="_heading=h.3nxd862i6yam">
            <w:r>
              <w:rPr>
                <w:rFonts w:ascii="Times New Roman" w:eastAsia="Times New Roman" w:hAnsi="Times New Roman" w:cs="Times New Roman"/>
                <w:b/>
                <w:bCs/>
                <w:color w:val="000000"/>
              </w:rPr>
              <w:t xml:space="preserve"> ET MOTS-CLÉS</w:t>
            </w:r>
            <w:r>
              <w:rPr>
                <w:rFonts w:ascii="Times New Roman" w:eastAsia="Times New Roman" w:hAnsi="Times New Roman" w:cs="Times New Roman"/>
                <w:b/>
                <w:bCs/>
                <w:color w:val="000000"/>
              </w:rPr>
              <w:tab/>
              <w:t>170</w:t>
            </w:r>
          </w:hyperlink>
          <w:r>
            <w:fldChar w:fldCharType="end"/>
          </w:r>
        </w:p>
      </w:sdtContent>
    </w:sdt>
    <w:p w14:paraId="00000064" w14:textId="77777777" w:rsidR="004E766C" w:rsidRDefault="004E766C">
      <w:pPr>
        <w:spacing w:before="240" w:after="240" w:line="240" w:lineRule="auto"/>
        <w:jc w:val="both"/>
        <w:rPr>
          <w:rFonts w:ascii="Times New Roman" w:eastAsia="Times New Roman" w:hAnsi="Times New Roman" w:cs="Times New Roman"/>
          <w:b/>
          <w:bCs/>
          <w:sz w:val="24"/>
          <w:szCs w:val="24"/>
        </w:rPr>
      </w:pPr>
    </w:p>
    <w:p w14:paraId="00000065" w14:textId="77777777" w:rsidR="004E766C" w:rsidRDefault="00000000">
      <w:pPr>
        <w:pStyle w:val="Titre1"/>
      </w:pPr>
      <w:bookmarkStart w:id="24" w:name="_heading=h.dvnsckt19lds" w:colFirst="0" w:colLast="0"/>
      <w:bookmarkEnd w:id="24"/>
      <w:r>
        <w:br w:type="page"/>
      </w:r>
    </w:p>
    <w:p w14:paraId="00000066" w14:textId="77777777" w:rsidR="004E766C" w:rsidRDefault="00000000">
      <w:pPr>
        <w:pStyle w:val="Titre1"/>
        <w:jc w:val="center"/>
      </w:pPr>
      <w:bookmarkStart w:id="25" w:name="_heading=h.i2jfscc65pdk" w:colFirst="0" w:colLast="0"/>
      <w:bookmarkEnd w:id="25"/>
      <w:r>
        <w:lastRenderedPageBreak/>
        <w:t xml:space="preserve">INTRODUCTION </w:t>
      </w:r>
    </w:p>
    <w:p w14:paraId="00000067" w14:textId="77777777" w:rsidR="004E766C"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Maison des Femmes de Lyon est une structure pluridisciplinaire dédiée à l’accompagnement des femmes victimes de violences. Elle est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-portée par les Hospices Civils de Lyon et par un collectif de neuf associations spécialisées dans l’accompagnement des femmes victimes de violences, qu’elles soient conjugales, intrafamiliales, sexuelles ou liées à la prostitution. La structure est implantée au sein de l’hôpital Édouard Herriot depuis septembre 2024. Elle propose un accueil sécurisé et coordonné, réunissant des professionnelles issues des secteurs médical, psychologique, social et juridique, afin d’accompagner chaque femme ou toute personne s’identifiant comme telle selon ses besoins spécifiques et au rythme adapté à sa situation.</w:t>
      </w:r>
    </w:p>
    <w:p w14:paraId="00000068"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création de la MDF de Lyon s’inscrit dans une dynamique nationale de développement de dispositifs intégrés de prise en charge des violences faites aux femmes, soutenue par les politiques publiques de lutte contre ces violences. Ces structures reposent sur une coopération étroite entre acteurs institutionnels et associatifs, dans une logique de complémentarité des expertises et de décloisonnement des prises en charge.</w:t>
      </w:r>
    </w:p>
    <w:p w14:paraId="00000069"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développement de la MDF de Lyon s’est structuré autour de plusieurs étapes clés. Dès 2019, une étude de préfiguration est menée par le Centre d’information sur les droits des femmes et des familles du Rhône-Arc Alpin, cofinancée par l’État et la Métropole de Lyon. En 2021, le projet est repris en co-pilotage par la Ville de Lyon et les Hospices Civils de Lyon. Enfin, en 2024, la création d’un collectif associatif dédié à la Maison des Femmes rassemble plusieurs organisations engagées dans l’accompagnement des femmes victimes de violences : l’Amicale du Nid, </w:t>
      </w:r>
      <w:proofErr w:type="spellStart"/>
      <w:r>
        <w:rPr>
          <w:rFonts w:ascii="Times New Roman" w:eastAsia="Times New Roman" w:hAnsi="Times New Roman" w:cs="Times New Roman"/>
          <w:sz w:val="24"/>
          <w:szCs w:val="24"/>
        </w:rPr>
        <w:t>Cabiria</w:t>
      </w:r>
      <w:proofErr w:type="spellEnd"/>
      <w:r>
        <w:rPr>
          <w:rFonts w:ascii="Times New Roman" w:eastAsia="Times New Roman" w:hAnsi="Times New Roman" w:cs="Times New Roman"/>
          <w:sz w:val="24"/>
          <w:szCs w:val="24"/>
        </w:rPr>
        <w:t>, FILACTIONS, le Planning Familial, VIFFIL</w:t>
      </w:r>
      <w:r>
        <w:rPr>
          <w:rFonts w:ascii="Times New Roman" w:eastAsia="Times New Roman" w:hAnsi="Times New Roman" w:cs="Times New Roman"/>
          <w:color w:val="1F1F1F"/>
          <w:sz w:val="24"/>
          <w:szCs w:val="24"/>
        </w:rPr>
        <w:t>-SOS Femmes (Violences Intra Familiales Femmes Informations Liberté SOS Femmes)</w:t>
      </w:r>
      <w:r>
        <w:rPr>
          <w:rFonts w:ascii="Times New Roman" w:eastAsia="Times New Roman" w:hAnsi="Times New Roman" w:cs="Times New Roman"/>
          <w:sz w:val="24"/>
          <w:szCs w:val="24"/>
        </w:rPr>
        <w:t>, le Mouvement du Nid, le MAS, Solidarité Femme Beaujolais et le Centre d’information sur les droits des femmes et des familles (CIDFF).</w:t>
      </w:r>
    </w:p>
    <w:p w14:paraId="0000006A"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spécificité de la MDF de Lyon repose sur cette articulation étroite entre le monde hospitalier et le tissu associatif. La structure rassemble ainsi des professionnelles aux formations, aux pratiques et aux cultures professionnelles diverses : personnel médical, administratif, juristes, ou encore travailleuses sociales. Cette pluralité constitue une richesse pour l’accompagnement proposé, mais elle soulève également des enjeux organisationnels et professionnels, notamment en matière de construction d’une culture commune de l’accueil.</w:t>
      </w:r>
    </w:p>
    <w:p w14:paraId="0000006B"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ce contexte, plusieurs attentes structurent le développement de la structure. Il s’agit notamment de garantir une qualité de prise en charge pour toutes les bénéficiaires, de développer une approche inclusive attentive à la diversité des publics accueillis (femmes victimes de violences conjugales, femmes étrangères, personnes transgenres, travailleuses du sexe ou encore personnes en situation de handicap…) ainsi que de construire un cadre d’accueil permettant à la Maison des Femmes d’être perçue comme un véritable lieu refuge.</w:t>
      </w:r>
    </w:p>
    <w:p w14:paraId="0000006C"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enjeux impliquent également de porter une attention particulière à la pratique de l’accueil des professionnelles, ainsi qu’à la manière dont leurs différentes cultures professionnelles peuvent converger ou, au contraire, entrer en tension. La diversité des sensibilités, des pratiques et des représentations du travail constitue ainsi un élément central dans la compréhension du fonctionnement de la structure.</w:t>
      </w:r>
    </w:p>
    <w:p w14:paraId="0000006D"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Face à ces constats, notre travail vise à interroger les conditions de mise en œuvre d’une politique d’accueil inclusive et adaptée au sein de la Maison des Femmes de Lyon. Il s’agit </w:t>
      </w:r>
      <w:r>
        <w:rPr>
          <w:rFonts w:ascii="Times New Roman" w:eastAsia="Times New Roman" w:hAnsi="Times New Roman" w:cs="Times New Roman"/>
          <w:sz w:val="24"/>
          <w:szCs w:val="24"/>
        </w:rPr>
        <w:lastRenderedPageBreak/>
        <w:t>notamment de réfléchir aux modalités concrètes permettant de faire de la structure un lieu refuge, c’est-à-dire un espace dans lequel bénéficiaires comme professionnelles puissent se sentir en sécurité, reconnues et accueillies.</w:t>
      </w:r>
    </w:p>
    <w:p w14:paraId="0000006E" w14:textId="77777777" w:rsidR="004E766C" w:rsidRDefault="00000000">
      <w:pPr>
        <w:spacing w:before="240" w:after="24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Dans cette perspective, notre réflexion s’articule autour de la problématique suivante : </w:t>
      </w:r>
      <w:r>
        <w:rPr>
          <w:rFonts w:ascii="Times New Roman" w:eastAsia="Times New Roman" w:hAnsi="Times New Roman" w:cs="Times New Roman"/>
          <w:b/>
          <w:bCs/>
          <w:sz w:val="24"/>
          <w:szCs w:val="24"/>
        </w:rPr>
        <w:t>Comment développer une culture partagée de l’hospitalité entre les différentes parties prenantes — bénéficiaires et professionnelles — de la Maison des Femmes de Lyon afin d’habiter ce lieu et d’en faire un « refuge » d’inspiration féministe, inclusif et accueillant, prenant en compte les besoins des différentes protagonistes ?</w:t>
      </w:r>
    </w:p>
    <w:p w14:paraId="0000006F"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question invite à porter attention à plusieurs dimensions complémentaires : les pratiques professionnelles d’accueil, la coopération entre les différentes actrices de la structure, les modalités d’accompagnement proposées aux bénéficiaires, mais également les conditions matérielles et spatiales dans lesquelles cet accueil s’inscrit. Elle implique de prendre en compte la diversité des publics accueillis ainsi que l’hétérogénéité des cultures professionnelles présentes au sein de la Maison des Femmes.</w:t>
      </w:r>
    </w:p>
    <w:p w14:paraId="00000070"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Afin de répondre à cette problématique, ce rapport s’organise en trois parties. Tout d’abord un cadrage théorique à travers un état de l’art consacré aux notions clés dans les structures d’accompagnement des femmes victimes de violences. Puis une présentation de notre enquête empirique, en détaillant la méthodologie mobilisée ainsi que les principaux enseignements issus des observations et des entretiens réalisés auprès des professionnelles et des bénéficiaires. Enfin, la troisième partie propose une analyse des enjeux identifiés et formule plusieurs recommandations visant à renforcer la politique d’accueil et la qualité de l’accompagnement au sein de la Maison des Femmes de Lyon.</w:t>
      </w:r>
    </w:p>
    <w:p w14:paraId="00000071"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travers cette réflexion, l’objectif est de contribuer à la construction d’une culture commune de l’hospitalité permettant de faire de la Maison des Femmes un espace à la fois protecteur, inclusif et véritablement habitable pour l’ensemble de ses protagonistes.</w:t>
      </w:r>
    </w:p>
    <w:p w14:paraId="00000072" w14:textId="77777777" w:rsidR="004E766C" w:rsidRDefault="00000000">
      <w:pPr>
        <w:pStyle w:val="Titre1"/>
        <w:jc w:val="center"/>
        <w:rPr>
          <w:i/>
          <w:iCs/>
        </w:rPr>
      </w:pPr>
      <w:bookmarkStart w:id="26" w:name="_heading=h.5nzieelohj95" w:colFirst="0" w:colLast="0"/>
      <w:bookmarkEnd w:id="26"/>
      <w:r>
        <w:t>ORGANISATION</w:t>
      </w:r>
    </w:p>
    <w:p w14:paraId="00000073" w14:textId="77777777" w:rsidR="004E766C"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groupe de travail s’est constitué au début du mois de septembre dans le cadre de la Public </w:t>
      </w:r>
      <w:proofErr w:type="spellStart"/>
      <w:r>
        <w:rPr>
          <w:rFonts w:ascii="Times New Roman" w:eastAsia="Times New Roman" w:hAnsi="Times New Roman" w:cs="Times New Roman"/>
          <w:sz w:val="24"/>
          <w:szCs w:val="24"/>
        </w:rPr>
        <w:t>Factory</w:t>
      </w:r>
      <w:proofErr w:type="spellEnd"/>
      <w:r>
        <w:rPr>
          <w:rFonts w:ascii="Times New Roman" w:eastAsia="Times New Roman" w:hAnsi="Times New Roman" w:cs="Times New Roman"/>
          <w:sz w:val="24"/>
          <w:szCs w:val="24"/>
        </w:rPr>
        <w:t xml:space="preserve">. Composé de neuf </w:t>
      </w:r>
      <w:proofErr w:type="spellStart"/>
      <w:r>
        <w:rPr>
          <w:rFonts w:ascii="Times New Roman" w:eastAsia="Times New Roman" w:hAnsi="Times New Roman" w:cs="Times New Roman"/>
          <w:sz w:val="24"/>
          <w:szCs w:val="24"/>
        </w:rPr>
        <w:t>étudiant·es</w:t>
      </w:r>
      <w:proofErr w:type="spellEnd"/>
      <w:r>
        <w:rPr>
          <w:rFonts w:ascii="Times New Roman" w:eastAsia="Times New Roman" w:hAnsi="Times New Roman" w:cs="Times New Roman"/>
          <w:sz w:val="24"/>
          <w:szCs w:val="24"/>
        </w:rPr>
        <w:t xml:space="preserve"> qui ne se connaissaient pas au préalable, il a rapidement été nécessaire de mettre en place une organisation afin de structurer le travail : définition de canaux de communication, mise en place d’un suivi régulier avec notre encadrante et centralisation des documents de travail. Dans un premier temps, nous avons utilisé l’outil Notion pour organiser nos ressources et nos échanges, avant d’opter pour un espace partagé sur Google Drive lorsque les limites de la version gratuite ont été atteintes.</w:t>
      </w:r>
    </w:p>
    <w:p w14:paraId="00000074"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Souhaitant favoriser une réelle transversalité des compétences et maintenir une vision d’ensemble du projet, nous avons fait le choix de ne pas attribuer de rôles fixes au sein du groupe. Les différentes tâches (répondre aux courriels, animer les réunions ou prendre des notes) ont ainsi été assumées collectivement et de manière tournante. Certaines responsabilités se sont toutefois dégagées de manière plus informelle : Alice s’est notamment chargée plus régulièrement des échanges avec les intervenantes extérieures, tandis qu’Axelle a assuré un suivi plus direct avec notre encadrante, Muriel.</w:t>
      </w:r>
    </w:p>
    <w:p w14:paraId="00000075"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Nous avons également fait le choix de nous réunir chaque mercredi après-midi et de consacrer ces temps de travail à des séances collectives. Ce fonctionnement nous permettait de favoriser les échanges et la réflexion commune, plutôt que de répartir uniquement les tâches à distance. </w:t>
      </w:r>
      <w:r>
        <w:rPr>
          <w:rFonts w:ascii="Times New Roman" w:eastAsia="Times New Roman" w:hAnsi="Times New Roman" w:cs="Times New Roman"/>
          <w:sz w:val="24"/>
          <w:szCs w:val="24"/>
        </w:rPr>
        <w:lastRenderedPageBreak/>
        <w:t>Nos réunions débutaient généralement par la définition d’un ordre du jour, suivie de phases de discussion ou de brainstorming, avant de nous répartir en sous-groupes pour avancer sur certaines tâches spécifiques.</w:t>
      </w:r>
    </w:p>
    <w:p w14:paraId="00000076"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Afin de maintenir une communication fluide entre ces temps de travail hebdomadaires, nous avons, dès la première séance, créé un groupe WhatsApp. Nous disposions également des coordonnées directes de notre encadrante, ce qui nous permettait d’échanger facilement lorsque cela était nécessaire. Nous avons d’ailleurs eu l’opportunité de rencontrer Muriel très régulièrement, souvent chaque mercredi, en présentiel ou en visioconférence. Ces échanges nous permettaient de faire le point sur l’avancement du projet et de lui poser des questions, notamment d’ordre méthodologique ou en lien avec notre commanditaire.</w:t>
      </w:r>
    </w:p>
    <w:p w14:paraId="00000077" w14:textId="77777777" w:rsidR="004E766C" w:rsidRDefault="004E766C">
      <w:pPr>
        <w:spacing w:line="240" w:lineRule="auto"/>
        <w:jc w:val="both"/>
        <w:rPr>
          <w:rFonts w:ascii="Times New Roman" w:eastAsia="Times New Roman" w:hAnsi="Times New Roman" w:cs="Times New Roman"/>
          <w:sz w:val="24"/>
          <w:szCs w:val="24"/>
        </w:rPr>
      </w:pPr>
    </w:p>
    <w:p w14:paraId="00000078" w14:textId="77777777" w:rsidR="004E766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57BC2D65" wp14:editId="69266F61">
            <wp:extent cx="4891678" cy="3567187"/>
            <wp:effectExtent l="0" t="0" r="0" b="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8"/>
                    <a:srcRect t="2621"/>
                    <a:stretch>
                      <a:fillRect/>
                    </a:stretch>
                  </pic:blipFill>
                  <pic:spPr>
                    <a:xfrm>
                      <a:off x="0" y="0"/>
                      <a:ext cx="4891678" cy="3567187"/>
                    </a:xfrm>
                    <a:prstGeom prst="rect">
                      <a:avLst/>
                    </a:prstGeom>
                    <a:ln/>
                  </pic:spPr>
                </pic:pic>
              </a:graphicData>
            </a:graphic>
          </wp:inline>
        </w:drawing>
      </w:r>
    </w:p>
    <w:p w14:paraId="00000079" w14:textId="77777777" w:rsidR="004E766C" w:rsidRDefault="00000000">
      <w:pPr>
        <w:pStyle w:val="Titre1"/>
      </w:pPr>
      <w:bookmarkStart w:id="27" w:name="_heading=h.bv8gj663z59s" w:colFirst="0" w:colLast="0"/>
      <w:bookmarkEnd w:id="27"/>
      <w:r>
        <w:br w:type="page"/>
      </w:r>
    </w:p>
    <w:p w14:paraId="0000007A" w14:textId="77777777" w:rsidR="004E766C" w:rsidRDefault="00000000">
      <w:pPr>
        <w:pStyle w:val="Titre1"/>
      </w:pPr>
      <w:bookmarkStart w:id="28" w:name="_heading=h.oa4ke0agjxho" w:colFirst="0" w:colLast="0"/>
      <w:bookmarkEnd w:id="28"/>
      <w:r>
        <w:lastRenderedPageBreak/>
        <w:t xml:space="preserve">PARTIE 1 : ÉTAT DE L’ART </w:t>
      </w:r>
    </w:p>
    <w:p w14:paraId="0000007B" w14:textId="77777777" w:rsidR="004E766C" w:rsidRDefault="004E766C">
      <w:pPr>
        <w:spacing w:line="240" w:lineRule="auto"/>
        <w:jc w:val="both"/>
        <w:rPr>
          <w:rFonts w:ascii="Times New Roman" w:eastAsia="Times New Roman" w:hAnsi="Times New Roman" w:cs="Times New Roman"/>
          <w:b/>
          <w:bCs/>
          <w:color w:val="FF0000"/>
          <w:sz w:val="24"/>
          <w:szCs w:val="24"/>
          <w:u w:val="single"/>
        </w:rPr>
      </w:pPr>
    </w:p>
    <w:p w14:paraId="0000007C" w14:textId="77777777" w:rsidR="004E766C" w:rsidRDefault="00000000">
      <w:pPr>
        <w:pStyle w:val="Titre2"/>
        <w:numPr>
          <w:ilvl w:val="0"/>
          <w:numId w:val="17"/>
        </w:numPr>
        <w:rPr>
          <w:color w:val="000000"/>
        </w:rPr>
      </w:pPr>
      <w:bookmarkStart w:id="29" w:name="_heading=h.ehpl80a3b65u" w:colFirst="0" w:colLast="0"/>
      <w:bookmarkEnd w:id="29"/>
      <w:r>
        <w:rPr>
          <w:color w:val="000000"/>
        </w:rPr>
        <w:t>Encadrement des notions, approches et concepts : un nécessaire détour académique</w:t>
      </w:r>
    </w:p>
    <w:p w14:paraId="0000007D" w14:textId="77777777" w:rsidR="004E766C" w:rsidRDefault="004E766C">
      <w:pPr>
        <w:spacing w:line="240" w:lineRule="auto"/>
        <w:jc w:val="both"/>
        <w:rPr>
          <w:rFonts w:ascii="Times New Roman" w:eastAsia="Times New Roman" w:hAnsi="Times New Roman" w:cs="Times New Roman"/>
          <w:sz w:val="24"/>
          <w:szCs w:val="24"/>
        </w:rPr>
      </w:pPr>
    </w:p>
    <w:p w14:paraId="0000007E" w14:textId="77777777" w:rsidR="004E766C" w:rsidRDefault="00000000">
      <w:pPr>
        <w:pStyle w:val="Titre3"/>
        <w:numPr>
          <w:ilvl w:val="0"/>
          <w:numId w:val="43"/>
        </w:numPr>
      </w:pPr>
      <w:bookmarkStart w:id="30" w:name="_heading=h.d216crzi3syv" w:colFirst="0" w:colLast="0"/>
      <w:bookmarkEnd w:id="30"/>
      <w:r>
        <w:t xml:space="preserve">Inhospitalité hospitalière : un paradoxe fondateur </w:t>
      </w:r>
    </w:p>
    <w:p w14:paraId="0000007F"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Notre travail est parti d’un paradoxe fondateur à la fois lexical et pratique : les lieux d’accueil hospitaliers sont fort souvent inhospitaliers. Si l’hôpital est déjà en soi un lieu de stress, de risques et d’incertitudes, il n’est cependant pas impossible de penser un accueil en son sein fondé sur une éthique du </w:t>
      </w:r>
      <w:r>
        <w:rPr>
          <w:rFonts w:ascii="Times New Roman" w:eastAsia="Times New Roman" w:hAnsi="Times New Roman" w:cs="Times New Roman"/>
          <w:i/>
          <w:iCs/>
          <w:sz w:val="24"/>
          <w:szCs w:val="24"/>
        </w:rPr>
        <w:t>care</w:t>
      </w:r>
      <w:r>
        <w:rPr>
          <w:rFonts w:ascii="Times New Roman" w:eastAsia="Times New Roman" w:hAnsi="Times New Roman" w:cs="Times New Roman"/>
          <w:sz w:val="24"/>
          <w:szCs w:val="24"/>
        </w:rPr>
        <w:t xml:space="preserve">, entendu comme une approche morale centrée sur l'attention, le souci de l'autre et la responsabilité relationnelle plutôt que sur des règles abstraites. Cette possibilité devient une nécessité dans le cadre de la prise en charge de femmes ayant subi des violences, et la Maison des Femmes de Lyon a ainsi, depuis sa création, développé une culture de l’accueil, de l’hospitalité, et de l’attention qui lui est propre. Ici se situe notre objet de travail. </w:t>
      </w:r>
    </w:p>
    <w:p w14:paraId="00000080"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nous faut aussi tout de suite préciser que l’accueil se matérialise sous deux formes distinctes mais complémentaires : d’un côté par des </w:t>
      </w:r>
      <w:r>
        <w:rPr>
          <w:rFonts w:ascii="Times New Roman" w:eastAsia="Times New Roman" w:hAnsi="Times New Roman" w:cs="Times New Roman"/>
          <w:i/>
          <w:iCs/>
          <w:sz w:val="24"/>
          <w:szCs w:val="24"/>
        </w:rPr>
        <w:t>pratiques</w:t>
      </w:r>
      <w:r>
        <w:rPr>
          <w:rFonts w:ascii="Times New Roman" w:eastAsia="Times New Roman" w:hAnsi="Times New Roman" w:cs="Times New Roman"/>
          <w:sz w:val="24"/>
          <w:szCs w:val="24"/>
        </w:rPr>
        <w:t xml:space="preserve">, des paroles et gestes concrets qu’il s’agit d’identifier, et de l’autre par une </w:t>
      </w:r>
      <w:r>
        <w:rPr>
          <w:rFonts w:ascii="Times New Roman" w:eastAsia="Times New Roman" w:hAnsi="Times New Roman" w:cs="Times New Roman"/>
          <w:i/>
          <w:iCs/>
          <w:sz w:val="24"/>
          <w:szCs w:val="24"/>
        </w:rPr>
        <w:t>posture</w:t>
      </w:r>
      <w:r>
        <w:rPr>
          <w:rFonts w:ascii="Times New Roman" w:eastAsia="Times New Roman" w:hAnsi="Times New Roman" w:cs="Times New Roman"/>
          <w:sz w:val="24"/>
          <w:szCs w:val="24"/>
        </w:rPr>
        <w:t>, une façon d’être. En ce sens, la directrice générale de l’Association VIFFIL SOS Femmes, Élisabeth Liotard, nous disait lors d’un entretien que la première forme d’accueil dans le cadre des violences faites aux femmes est de croire de manière inconditionnelle la personne que l’on reçoit</w:t>
      </w:r>
      <w:r>
        <w:rPr>
          <w:rFonts w:ascii="Times New Roman" w:eastAsia="Times New Roman" w:hAnsi="Times New Roman" w:cs="Times New Roman"/>
          <w:sz w:val="24"/>
          <w:szCs w:val="24"/>
          <w:vertAlign w:val="superscript"/>
        </w:rPr>
        <w:footnoteReference w:id="1"/>
      </w:r>
      <w:r>
        <w:rPr>
          <w:rFonts w:ascii="Times New Roman" w:eastAsia="Times New Roman" w:hAnsi="Times New Roman" w:cs="Times New Roman"/>
          <w:sz w:val="24"/>
          <w:szCs w:val="24"/>
        </w:rPr>
        <w:t xml:space="preserve">. </w:t>
      </w:r>
    </w:p>
    <w:p w14:paraId="00000081" w14:textId="77777777" w:rsidR="004E766C" w:rsidRDefault="00000000">
      <w:pPr>
        <w:pStyle w:val="Titre3"/>
        <w:numPr>
          <w:ilvl w:val="0"/>
          <w:numId w:val="43"/>
        </w:numPr>
        <w:shd w:val="clear" w:color="auto" w:fill="FFFFFF"/>
        <w:spacing w:before="240" w:after="240"/>
      </w:pPr>
      <w:bookmarkStart w:id="31" w:name="_heading=h.fp3tejrj7o68" w:colFirst="0" w:colLast="0"/>
      <w:bookmarkEnd w:id="31"/>
      <w:r>
        <w:t xml:space="preserve">Éléments de définition de plusieurs concepts clés du sujet </w:t>
      </w:r>
    </w:p>
    <w:p w14:paraId="00000082"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Étymologiquement, le terme « hospitalité » vient du latin </w:t>
      </w:r>
      <w:proofErr w:type="spellStart"/>
      <w:r>
        <w:rPr>
          <w:rFonts w:ascii="Times New Roman" w:eastAsia="Times New Roman" w:hAnsi="Times New Roman" w:cs="Times New Roman"/>
          <w:i/>
          <w:iCs/>
          <w:sz w:val="24"/>
          <w:szCs w:val="24"/>
        </w:rPr>
        <w:t>hospitalitas</w:t>
      </w:r>
      <w:proofErr w:type="spellEnd"/>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qui renvoie à la notion d’</w:t>
      </w:r>
      <w:proofErr w:type="spellStart"/>
      <w:r>
        <w:rPr>
          <w:rFonts w:ascii="Times New Roman" w:eastAsia="Times New Roman" w:hAnsi="Times New Roman" w:cs="Times New Roman"/>
          <w:sz w:val="24"/>
          <w:szCs w:val="24"/>
        </w:rPr>
        <w:t>hôte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i/>
          <w:iCs/>
          <w:sz w:val="24"/>
          <w:szCs w:val="24"/>
        </w:rPr>
        <w:t>hospes</w:t>
      </w:r>
      <w:proofErr w:type="spellEnd"/>
      <w:r>
        <w:rPr>
          <w:rFonts w:ascii="Times New Roman" w:eastAsia="Times New Roman" w:hAnsi="Times New Roman" w:cs="Times New Roman"/>
          <w:sz w:val="24"/>
          <w:szCs w:val="24"/>
        </w:rPr>
        <w:t>) et d’</w:t>
      </w:r>
      <w:proofErr w:type="spellStart"/>
      <w:r>
        <w:rPr>
          <w:rFonts w:ascii="Times New Roman" w:eastAsia="Times New Roman" w:hAnsi="Times New Roman" w:cs="Times New Roman"/>
          <w:sz w:val="24"/>
          <w:szCs w:val="24"/>
        </w:rPr>
        <w:t>étranger</w:t>
      </w:r>
      <w:proofErr w:type="spellEnd"/>
      <w:r>
        <w:rPr>
          <w:rFonts w:ascii="Times New Roman" w:eastAsia="Times New Roman" w:hAnsi="Times New Roman" w:cs="Times New Roman"/>
          <w:sz w:val="24"/>
          <w:szCs w:val="24"/>
        </w:rPr>
        <w:t xml:space="preserve"> ; la dualité de la notion souligne le lien entre accueil et </w:t>
      </w:r>
      <w:proofErr w:type="spellStart"/>
      <w:r>
        <w:rPr>
          <w:rFonts w:ascii="Times New Roman" w:eastAsia="Times New Roman" w:hAnsi="Times New Roman" w:cs="Times New Roman"/>
          <w:sz w:val="24"/>
          <w:szCs w:val="24"/>
        </w:rPr>
        <w:t>alterité</w:t>
      </w:r>
      <w:proofErr w:type="spellEnd"/>
      <w:r>
        <w:rPr>
          <w:rFonts w:ascii="Times New Roman" w:eastAsia="Times New Roman" w:hAnsi="Times New Roman" w:cs="Times New Roman"/>
          <w:sz w:val="24"/>
          <w:szCs w:val="24"/>
        </w:rPr>
        <w:t>. Certes, l’</w:t>
      </w:r>
      <w:proofErr w:type="spellStart"/>
      <w:r>
        <w:rPr>
          <w:rFonts w:ascii="Times New Roman" w:eastAsia="Times New Roman" w:hAnsi="Times New Roman" w:cs="Times New Roman"/>
          <w:sz w:val="24"/>
          <w:szCs w:val="24"/>
        </w:rPr>
        <w:t>hospitalite</w:t>
      </w:r>
      <w:proofErr w:type="spellEnd"/>
      <w:r>
        <w:rPr>
          <w:rFonts w:ascii="Times New Roman" w:eastAsia="Times New Roman" w:hAnsi="Times New Roman" w:cs="Times New Roman"/>
          <w:sz w:val="24"/>
          <w:szCs w:val="24"/>
        </w:rPr>
        <w:t xml:space="preserve">́ est le moment </w:t>
      </w:r>
      <w:proofErr w:type="spellStart"/>
      <w:r>
        <w:rPr>
          <w:rFonts w:ascii="Times New Roman" w:eastAsia="Times New Roman" w:hAnsi="Times New Roman" w:cs="Times New Roman"/>
          <w:sz w:val="24"/>
          <w:szCs w:val="24"/>
        </w:rPr>
        <w:t>privilégie</w:t>
      </w:r>
      <w:proofErr w:type="spellEnd"/>
      <w:r>
        <w:rPr>
          <w:rFonts w:ascii="Times New Roman" w:eastAsia="Times New Roman" w:hAnsi="Times New Roman" w:cs="Times New Roman"/>
          <w:sz w:val="24"/>
          <w:szCs w:val="24"/>
        </w:rPr>
        <w:t xml:space="preserve">́ de la rencontre et de l’accueil, mais elle est surtout le point de </w:t>
      </w:r>
      <w:proofErr w:type="spellStart"/>
      <w:r>
        <w:rPr>
          <w:rFonts w:ascii="Times New Roman" w:eastAsia="Times New Roman" w:hAnsi="Times New Roman" w:cs="Times New Roman"/>
          <w:sz w:val="24"/>
          <w:szCs w:val="24"/>
        </w:rPr>
        <w:t>départ</w:t>
      </w:r>
      <w:proofErr w:type="spellEnd"/>
      <w:r>
        <w:rPr>
          <w:rFonts w:ascii="Times New Roman" w:eastAsia="Times New Roman" w:hAnsi="Times New Roman" w:cs="Times New Roman"/>
          <w:sz w:val="24"/>
          <w:szCs w:val="24"/>
        </w:rPr>
        <w:t xml:space="preserve"> de l’</w:t>
      </w:r>
      <w:proofErr w:type="spellStart"/>
      <w:r>
        <w:rPr>
          <w:rFonts w:ascii="Times New Roman" w:eastAsia="Times New Roman" w:hAnsi="Times New Roman" w:cs="Times New Roman"/>
          <w:sz w:val="24"/>
          <w:szCs w:val="24"/>
        </w:rPr>
        <w:t>intégration</w:t>
      </w:r>
      <w:proofErr w:type="spellEnd"/>
      <w:r>
        <w:rPr>
          <w:rFonts w:ascii="Times New Roman" w:eastAsia="Times New Roman" w:hAnsi="Times New Roman" w:cs="Times New Roman"/>
          <w:sz w:val="24"/>
          <w:szCs w:val="24"/>
        </w:rPr>
        <w:t xml:space="preserve"> dans une </w:t>
      </w:r>
      <w:proofErr w:type="spellStart"/>
      <w:r>
        <w:rPr>
          <w:rFonts w:ascii="Times New Roman" w:eastAsia="Times New Roman" w:hAnsi="Times New Roman" w:cs="Times New Roman"/>
          <w:sz w:val="24"/>
          <w:szCs w:val="24"/>
        </w:rPr>
        <w:t>communaute</w:t>
      </w:r>
      <w:proofErr w:type="spellEnd"/>
      <w:r>
        <w:rPr>
          <w:rFonts w:ascii="Times New Roman" w:eastAsia="Times New Roman" w:hAnsi="Times New Roman" w:cs="Times New Roman"/>
          <w:sz w:val="24"/>
          <w:szCs w:val="24"/>
        </w:rPr>
        <w:t>́ ou un groupe social. L’acte d’</w:t>
      </w:r>
      <w:proofErr w:type="spellStart"/>
      <w:r>
        <w:rPr>
          <w:rFonts w:ascii="Times New Roman" w:eastAsia="Times New Roman" w:hAnsi="Times New Roman" w:cs="Times New Roman"/>
          <w:sz w:val="24"/>
          <w:szCs w:val="24"/>
        </w:rPr>
        <w:t>hospitalite</w:t>
      </w:r>
      <w:proofErr w:type="spellEnd"/>
      <w:r>
        <w:rPr>
          <w:rFonts w:ascii="Times New Roman" w:eastAsia="Times New Roman" w:hAnsi="Times New Roman" w:cs="Times New Roman"/>
          <w:sz w:val="24"/>
          <w:szCs w:val="24"/>
        </w:rPr>
        <w:t xml:space="preserve">́ ne peut alors pas consister uniquement en un mouvement relatif à un don vertical et hiérarchique, mais doit bel et bien avoir une dimension horizontale et circulaire. Cette idée d’horizontalité est d’autant plus capitale concernant notre sujet d’étude que, comme nous l’expliquait Elisabeth Liotard, les femmes ayant subi des violences ont déjà été mises sous domination. </w:t>
      </w:r>
    </w:p>
    <w:p w14:paraId="00000083"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autre grande question de notre travail a été celle de savoir </w:t>
      </w:r>
      <w:r>
        <w:rPr>
          <w:rFonts w:ascii="Times New Roman" w:eastAsia="Times New Roman" w:hAnsi="Times New Roman" w:cs="Times New Roman"/>
          <w:i/>
          <w:iCs/>
          <w:sz w:val="24"/>
          <w:szCs w:val="24"/>
        </w:rPr>
        <w:t>comment faire du commun sans nier la diversité d’autrui</w:t>
      </w:r>
      <w:r>
        <w:rPr>
          <w:rFonts w:ascii="Times New Roman" w:eastAsia="Times New Roman" w:hAnsi="Times New Roman" w:cs="Times New Roman"/>
          <w:sz w:val="24"/>
          <w:szCs w:val="24"/>
        </w:rPr>
        <w:t xml:space="preserve">, autrement dit, comment allier </w:t>
      </w:r>
      <w:r>
        <w:rPr>
          <w:rFonts w:ascii="Times New Roman" w:eastAsia="Times New Roman" w:hAnsi="Times New Roman" w:cs="Times New Roman"/>
          <w:i/>
          <w:iCs/>
          <w:sz w:val="24"/>
          <w:szCs w:val="24"/>
        </w:rPr>
        <w:t>universalisme</w:t>
      </w:r>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pluralisme</w:t>
      </w:r>
      <w:r>
        <w:rPr>
          <w:rFonts w:ascii="Times New Roman" w:eastAsia="Times New Roman" w:hAnsi="Times New Roman" w:cs="Times New Roman"/>
          <w:sz w:val="24"/>
          <w:szCs w:val="24"/>
        </w:rPr>
        <w:t xml:space="preserve">. Un élément de réponse se trouve sans doute dans la distinction à opérer entre inclusion et inclusivité. Comme nous l'avait précisé Florent </w:t>
      </w:r>
      <w:proofErr w:type="spellStart"/>
      <w:r>
        <w:rPr>
          <w:rFonts w:ascii="Times New Roman" w:eastAsia="Times New Roman" w:hAnsi="Times New Roman" w:cs="Times New Roman"/>
          <w:sz w:val="24"/>
          <w:szCs w:val="24"/>
        </w:rPr>
        <w:t>Ottello</w:t>
      </w:r>
      <w:proofErr w:type="spellEnd"/>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l’idée n’est pas simplement de mettre en place des réponses spécifiques mais de prendre en compte les spécificités (…) et de la spécificité, on fait du commun</w:t>
      </w:r>
      <w:r>
        <w:rPr>
          <w:rFonts w:ascii="Times New Roman" w:eastAsia="Times New Roman" w:hAnsi="Times New Roman" w:cs="Times New Roman"/>
          <w:sz w:val="24"/>
          <w:szCs w:val="24"/>
        </w:rPr>
        <w:t xml:space="preserve"> ». L’idée générale est que si l’inclusion vise ce que l’on </w:t>
      </w:r>
      <w:r>
        <w:rPr>
          <w:rFonts w:ascii="Times New Roman" w:eastAsia="Times New Roman" w:hAnsi="Times New Roman" w:cs="Times New Roman"/>
          <w:i/>
          <w:iCs/>
          <w:sz w:val="24"/>
          <w:szCs w:val="24"/>
        </w:rPr>
        <w:t>fait</w:t>
      </w:r>
      <w:r>
        <w:rPr>
          <w:rFonts w:ascii="Times New Roman" w:eastAsia="Times New Roman" w:hAnsi="Times New Roman" w:cs="Times New Roman"/>
          <w:sz w:val="24"/>
          <w:szCs w:val="24"/>
        </w:rPr>
        <w:t xml:space="preserve">, l’inclusivité vise avant tout ce que l’on </w:t>
      </w:r>
      <w:r>
        <w:rPr>
          <w:rFonts w:ascii="Times New Roman" w:eastAsia="Times New Roman" w:hAnsi="Times New Roman" w:cs="Times New Roman"/>
          <w:i/>
          <w:iCs/>
          <w:sz w:val="24"/>
          <w:szCs w:val="24"/>
        </w:rPr>
        <w:t>est</w:t>
      </w:r>
      <w:r>
        <w:rPr>
          <w:rFonts w:ascii="Times New Roman" w:eastAsia="Times New Roman" w:hAnsi="Times New Roman" w:cs="Times New Roman"/>
          <w:sz w:val="24"/>
          <w:szCs w:val="24"/>
        </w:rPr>
        <w:t xml:space="preserve">. </w:t>
      </w:r>
    </w:p>
    <w:p w14:paraId="00000084" w14:textId="77777777" w:rsidR="004E766C" w:rsidRDefault="00000000">
      <w:pPr>
        <w:shd w:val="clear" w:color="auto" w:fill="FFFFFF"/>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Nous utiliserons également dans ce travail le terme de </w:t>
      </w:r>
      <w:r>
        <w:rPr>
          <w:rFonts w:ascii="Times New Roman" w:eastAsia="Times New Roman" w:hAnsi="Times New Roman" w:cs="Times New Roman"/>
          <w:i/>
          <w:iCs/>
          <w:sz w:val="24"/>
          <w:szCs w:val="24"/>
        </w:rPr>
        <w:t>continuum des violences sexuelles</w:t>
      </w:r>
      <w:r>
        <w:rPr>
          <w:rFonts w:ascii="Times New Roman" w:eastAsia="Times New Roman" w:hAnsi="Times New Roman" w:cs="Times New Roman"/>
          <w:sz w:val="24"/>
          <w:szCs w:val="24"/>
        </w:rPr>
        <w:t xml:space="preserve">. Le concept, théorisé par Liz Kelly, souligne à la fois « </w:t>
      </w:r>
      <w:r>
        <w:rPr>
          <w:rFonts w:ascii="Times New Roman" w:eastAsia="Times New Roman" w:hAnsi="Times New Roman" w:cs="Times New Roman"/>
          <w:i/>
          <w:iCs/>
          <w:sz w:val="24"/>
          <w:szCs w:val="24"/>
        </w:rPr>
        <w:t>l’étendue et la variété de formes que peuvent prendre les violences sexuelles, et leur principal dénominateur commun</w:t>
      </w:r>
      <w:r>
        <w:rPr>
          <w:rFonts w:ascii="Times New Roman" w:eastAsia="Times New Roman" w:hAnsi="Times New Roman" w:cs="Times New Roman"/>
          <w:i/>
          <w:iCs/>
          <w:sz w:val="24"/>
          <w:szCs w:val="24"/>
          <w:vertAlign w:val="superscript"/>
        </w:rPr>
        <w:footnoteReference w:id="2"/>
      </w:r>
      <w:r>
        <w:rPr>
          <w:rFonts w:ascii="Times New Roman" w:eastAsia="Times New Roman" w:hAnsi="Times New Roman" w:cs="Times New Roman"/>
          <w:sz w:val="24"/>
          <w:szCs w:val="24"/>
        </w:rPr>
        <w:t xml:space="preserve"> ». Ce dénominateur </w:t>
      </w:r>
      <w:r>
        <w:rPr>
          <w:rFonts w:ascii="Times New Roman" w:eastAsia="Times New Roman" w:hAnsi="Times New Roman" w:cs="Times New Roman"/>
          <w:sz w:val="24"/>
          <w:szCs w:val="24"/>
        </w:rPr>
        <w:lastRenderedPageBreak/>
        <w:t xml:space="preserve">commun désigne l’utilisation par les hommes de la force et de la violence pour contrôler les femmes. Ce continuum se matérialise sous deux formes. On trouve d’un côté le continuum </w:t>
      </w:r>
      <w:r>
        <w:rPr>
          <w:rFonts w:ascii="Times New Roman" w:eastAsia="Times New Roman" w:hAnsi="Times New Roman" w:cs="Times New Roman"/>
          <w:i/>
          <w:iCs/>
          <w:sz w:val="24"/>
          <w:szCs w:val="24"/>
        </w:rPr>
        <w:t>de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fréquence</w:t>
      </w:r>
      <w:r>
        <w:rPr>
          <w:rFonts w:ascii="Times New Roman" w:eastAsia="Times New Roman" w:hAnsi="Times New Roman" w:cs="Times New Roman"/>
          <w:sz w:val="24"/>
          <w:szCs w:val="24"/>
        </w:rPr>
        <w:t xml:space="preserve">, qui vient ancrer ces violences dans une forme de normalité, et de l’autre le continuum </w:t>
      </w:r>
      <w:r>
        <w:rPr>
          <w:rFonts w:ascii="Times New Roman" w:eastAsia="Times New Roman" w:hAnsi="Times New Roman" w:cs="Times New Roman"/>
          <w:i/>
          <w:iCs/>
          <w:sz w:val="24"/>
          <w:szCs w:val="24"/>
        </w:rPr>
        <w:t>d’expériences</w:t>
      </w:r>
      <w:r>
        <w:rPr>
          <w:rFonts w:ascii="Times New Roman" w:eastAsia="Times New Roman" w:hAnsi="Times New Roman" w:cs="Times New Roman"/>
          <w:sz w:val="24"/>
          <w:szCs w:val="24"/>
        </w:rPr>
        <w:t xml:space="preserve"> qui passe successivement de la liberté à la contrainte et à l’usage de la force. Le concept est très utile dans le cadre de notre travail puisqu’il permet de « </w:t>
      </w:r>
      <w:r>
        <w:rPr>
          <w:rFonts w:ascii="Times New Roman" w:eastAsia="Times New Roman" w:hAnsi="Times New Roman" w:cs="Times New Roman"/>
          <w:i/>
          <w:iCs/>
          <w:sz w:val="24"/>
          <w:szCs w:val="24"/>
        </w:rPr>
        <w:t>relier les abus les plus communs et quotidiens dont elles sont l’objet avec les épreuves les moins communes qualifiées de délits</w:t>
      </w:r>
      <w:r>
        <w:rPr>
          <w:rFonts w:ascii="Times New Roman" w:eastAsia="Times New Roman" w:hAnsi="Times New Roman" w:cs="Times New Roman"/>
          <w:i/>
          <w:iCs/>
          <w:sz w:val="24"/>
          <w:szCs w:val="24"/>
          <w:vertAlign w:val="superscript"/>
        </w:rPr>
        <w:footnoteReference w:id="3"/>
      </w:r>
      <w:r>
        <w:rPr>
          <w:rFonts w:ascii="Times New Roman" w:eastAsia="Times New Roman" w:hAnsi="Times New Roman" w:cs="Times New Roman"/>
          <w:sz w:val="24"/>
          <w:szCs w:val="24"/>
        </w:rPr>
        <w:t xml:space="preserve"> ». En conséquence, « </w:t>
      </w:r>
      <w:r>
        <w:rPr>
          <w:rFonts w:ascii="Times New Roman" w:eastAsia="Times New Roman" w:hAnsi="Times New Roman" w:cs="Times New Roman"/>
          <w:i/>
          <w:iCs/>
          <w:sz w:val="24"/>
          <w:szCs w:val="24"/>
        </w:rPr>
        <w:t>aucune distinction claire ne peut être établie entre les « victimes » et les autres femmes</w:t>
      </w:r>
      <w:r>
        <w:rPr>
          <w:rFonts w:ascii="Times New Roman" w:eastAsia="Times New Roman" w:hAnsi="Times New Roman" w:cs="Times New Roman"/>
          <w:sz w:val="24"/>
          <w:szCs w:val="24"/>
        </w:rPr>
        <w:t xml:space="preserve"> » car la variété du type de violences qu’elles subissent représente une « </w:t>
      </w:r>
      <w:r>
        <w:rPr>
          <w:rFonts w:ascii="Times New Roman" w:eastAsia="Times New Roman" w:hAnsi="Times New Roman" w:cs="Times New Roman"/>
          <w:i/>
          <w:iCs/>
          <w:sz w:val="24"/>
          <w:szCs w:val="24"/>
        </w:rPr>
        <w:t>différence de degré et non de nature</w:t>
      </w:r>
      <w:r>
        <w:rPr>
          <w:rFonts w:ascii="Times New Roman" w:eastAsia="Times New Roman" w:hAnsi="Times New Roman" w:cs="Times New Roman"/>
          <w:i/>
          <w:iCs/>
          <w:sz w:val="24"/>
          <w:szCs w:val="24"/>
          <w:vertAlign w:val="superscript"/>
        </w:rPr>
        <w:footnoteReference w:id="4"/>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Comme évoqué dans l'introduction, nous éviterons donc l'usage du terme de « victimes » pour parler des femmes prises en charge par la MDF, mais utiliserons plutôt celui de « bénéficiaires ». </w:t>
      </w:r>
    </w:p>
    <w:p w14:paraId="00000085"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une logique analogue, la sociologue Maryse </w:t>
      </w:r>
      <w:proofErr w:type="spellStart"/>
      <w:r>
        <w:rPr>
          <w:rFonts w:ascii="Times New Roman" w:eastAsia="Times New Roman" w:hAnsi="Times New Roman" w:cs="Times New Roman"/>
          <w:sz w:val="24"/>
          <w:szCs w:val="24"/>
        </w:rPr>
        <w:t>Jaspard</w:t>
      </w:r>
      <w:proofErr w:type="spellEnd"/>
      <w:r>
        <w:rPr>
          <w:rFonts w:ascii="Times New Roman" w:eastAsia="Times New Roman" w:hAnsi="Times New Roman" w:cs="Times New Roman"/>
          <w:sz w:val="24"/>
          <w:szCs w:val="24"/>
        </w:rPr>
        <w:t xml:space="preserve"> critique la notion de « violences conjugales » qui « </w:t>
      </w:r>
      <w:r>
        <w:rPr>
          <w:rFonts w:ascii="Times New Roman" w:eastAsia="Times New Roman" w:hAnsi="Times New Roman" w:cs="Times New Roman"/>
          <w:i/>
          <w:iCs/>
          <w:sz w:val="24"/>
          <w:szCs w:val="24"/>
        </w:rPr>
        <w:t>sous-entend la réciprocité des agressions</w:t>
      </w:r>
      <w:r>
        <w:rPr>
          <w:rFonts w:ascii="Times New Roman" w:eastAsia="Times New Roman" w:hAnsi="Times New Roman" w:cs="Times New Roman"/>
          <w:sz w:val="24"/>
          <w:szCs w:val="24"/>
        </w:rPr>
        <w:t xml:space="preserve"> (…) </w:t>
      </w:r>
      <w:r>
        <w:rPr>
          <w:rFonts w:ascii="Times New Roman" w:eastAsia="Times New Roman" w:hAnsi="Times New Roman" w:cs="Times New Roman"/>
          <w:i/>
          <w:iCs/>
          <w:sz w:val="24"/>
          <w:szCs w:val="24"/>
        </w:rPr>
        <w:t>et entraîne une relative confusion entre les concepts de violence et de conflit</w:t>
      </w:r>
      <w:r>
        <w:rPr>
          <w:rFonts w:ascii="Times New Roman" w:eastAsia="Times New Roman" w:hAnsi="Times New Roman" w:cs="Times New Roman"/>
          <w:i/>
          <w:iCs/>
          <w:sz w:val="24"/>
          <w:szCs w:val="24"/>
          <w:vertAlign w:val="superscript"/>
        </w:rPr>
        <w:footnoteReference w:id="5"/>
      </w:r>
      <w:r>
        <w:rPr>
          <w:rFonts w:ascii="Times New Roman" w:eastAsia="Times New Roman" w:hAnsi="Times New Roman" w:cs="Times New Roman"/>
          <w:sz w:val="24"/>
          <w:szCs w:val="24"/>
        </w:rPr>
        <w:t xml:space="preserve"> ». L’autrice décrit la violence comme résultant « </w:t>
      </w:r>
      <w:r>
        <w:rPr>
          <w:rFonts w:ascii="Times New Roman" w:eastAsia="Times New Roman" w:hAnsi="Times New Roman" w:cs="Times New Roman"/>
          <w:i/>
          <w:iCs/>
          <w:sz w:val="24"/>
          <w:szCs w:val="24"/>
        </w:rPr>
        <w:t xml:space="preserve">d'une volonté, plus ou moins consciente, de façonner l'autre pour mieux assurer son pouvoir </w:t>
      </w:r>
      <w:r>
        <w:rPr>
          <w:rFonts w:ascii="Times New Roman" w:eastAsia="Times New Roman" w:hAnsi="Times New Roman" w:cs="Times New Roman"/>
          <w:sz w:val="24"/>
          <w:szCs w:val="24"/>
        </w:rPr>
        <w:t xml:space="preserve">». Dès lors, nous favorisons plutôt les expressions de « </w:t>
      </w:r>
      <w:r>
        <w:rPr>
          <w:rFonts w:ascii="Times New Roman" w:eastAsia="Times New Roman" w:hAnsi="Times New Roman" w:cs="Times New Roman"/>
          <w:i/>
          <w:iCs/>
          <w:sz w:val="24"/>
          <w:szCs w:val="24"/>
        </w:rPr>
        <w:t>relation de couple (ou) de situation conflictuelle (ou) agressive</w:t>
      </w:r>
      <w:r>
        <w:rPr>
          <w:rFonts w:ascii="Times New Roman" w:eastAsia="Times New Roman" w:hAnsi="Times New Roman" w:cs="Times New Roman"/>
          <w:i/>
          <w:iCs/>
          <w:sz w:val="24"/>
          <w:szCs w:val="24"/>
          <w:vertAlign w:val="superscript"/>
        </w:rPr>
        <w:footnoteReference w:id="6"/>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w:t>
      </w:r>
    </w:p>
    <w:p w14:paraId="00000086" w14:textId="77777777" w:rsidR="004E766C" w:rsidRDefault="00000000">
      <w:pPr>
        <w:pStyle w:val="Titre3"/>
        <w:numPr>
          <w:ilvl w:val="0"/>
          <w:numId w:val="43"/>
        </w:numPr>
        <w:shd w:val="clear" w:color="auto" w:fill="FFFFFF"/>
        <w:spacing w:before="240" w:after="240"/>
      </w:pPr>
      <w:bookmarkStart w:id="32" w:name="_heading=h.cjab2zalip8z" w:colFirst="0" w:colLast="0"/>
      <w:bookmarkEnd w:id="32"/>
      <w:r>
        <w:t xml:space="preserve">Habiter un lieu : un enjeu collectif complexe </w:t>
      </w:r>
    </w:p>
    <w:p w14:paraId="00000087" w14:textId="77777777" w:rsidR="004E766C" w:rsidRDefault="00000000">
      <w:pPr>
        <w:pStyle w:val="Titre4"/>
        <w:ind w:left="0"/>
        <w:rPr>
          <w:i w:val="0"/>
          <w:iCs w:val="0"/>
          <w:color w:val="000000"/>
        </w:rPr>
      </w:pPr>
      <w:bookmarkStart w:id="33" w:name="_heading=h.uw478hbggg8v" w:colFirst="0" w:colLast="0"/>
      <w:bookmarkEnd w:id="33"/>
      <w:proofErr w:type="gramStart"/>
      <w:r>
        <w:rPr>
          <w:i w:val="0"/>
          <w:iCs w:val="0"/>
          <w:color w:val="000000"/>
        </w:rPr>
        <w:t>𜰄</w:t>
      </w:r>
      <w:proofErr w:type="gramEnd"/>
      <w:r>
        <w:rPr>
          <w:i w:val="0"/>
          <w:iCs w:val="0"/>
          <w:color w:val="000000"/>
        </w:rPr>
        <w:t xml:space="preserve"> Habiter un lieu pour habiter son existence </w:t>
      </w:r>
    </w:p>
    <w:p w14:paraId="00000088"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L’hospitalité suggère également la notion de </w:t>
      </w:r>
      <w:r>
        <w:rPr>
          <w:rFonts w:ascii="Times New Roman" w:eastAsia="Times New Roman" w:hAnsi="Times New Roman" w:cs="Times New Roman"/>
          <w:i/>
          <w:iCs/>
          <w:sz w:val="24"/>
          <w:szCs w:val="24"/>
        </w:rPr>
        <w:t>l’habitat</w:t>
      </w:r>
      <w:r>
        <w:rPr>
          <w:rFonts w:ascii="Times New Roman" w:eastAsia="Times New Roman" w:hAnsi="Times New Roman" w:cs="Times New Roman"/>
          <w:sz w:val="24"/>
          <w:szCs w:val="24"/>
        </w:rPr>
        <w:t xml:space="preserve">, et du fait </w:t>
      </w:r>
      <w:r>
        <w:rPr>
          <w:rFonts w:ascii="Times New Roman" w:eastAsia="Times New Roman" w:hAnsi="Times New Roman" w:cs="Times New Roman"/>
          <w:i/>
          <w:iCs/>
          <w:sz w:val="24"/>
          <w:szCs w:val="24"/>
        </w:rPr>
        <w:t>d’habiter</w:t>
      </w:r>
      <w:r>
        <w:rPr>
          <w:rFonts w:ascii="Times New Roman" w:eastAsia="Times New Roman" w:hAnsi="Times New Roman" w:cs="Times New Roman"/>
          <w:sz w:val="24"/>
          <w:szCs w:val="24"/>
        </w:rPr>
        <w:t xml:space="preserve"> un lieu. Le sujet ayant fait l’objet d’une multitude de travaux de recherches, nous nous sommes concentrés sur l’analyse que proposent deux philosophes : Martin Heidegger, puis plus tard, Henri Lefebvre. Pour ces derniers, habiter signifie avant tout «</w:t>
      </w:r>
      <w:r>
        <w:rPr>
          <w:rFonts w:ascii="Times New Roman" w:eastAsia="Times New Roman" w:hAnsi="Times New Roman" w:cs="Times New Roman"/>
          <w:i/>
          <w:iCs/>
          <w:sz w:val="24"/>
          <w:szCs w:val="24"/>
        </w:rPr>
        <w:t xml:space="preserve"> être présent au monde et à autrui</w:t>
      </w:r>
      <w:r>
        <w:rPr>
          <w:rFonts w:ascii="Times New Roman" w:eastAsia="Times New Roman" w:hAnsi="Times New Roman" w:cs="Times New Roman"/>
          <w:sz w:val="24"/>
          <w:szCs w:val="24"/>
        </w:rPr>
        <w:t xml:space="preserve"> » c’est-à-dire donner un sens à son existence et à sa vie : c’est une expérience sensorielle totale caractérisée par l’attention et la sensibilité</w:t>
      </w:r>
      <w:r>
        <w:rPr>
          <w:rFonts w:ascii="Times New Roman" w:eastAsia="Times New Roman" w:hAnsi="Times New Roman" w:cs="Times New Roman"/>
          <w:sz w:val="24"/>
          <w:szCs w:val="24"/>
          <w:vertAlign w:val="superscript"/>
        </w:rPr>
        <w:footnoteReference w:id="7"/>
      </w:r>
      <w:r>
        <w:rPr>
          <w:rFonts w:ascii="Times New Roman" w:eastAsia="Times New Roman" w:hAnsi="Times New Roman" w:cs="Times New Roman"/>
          <w:sz w:val="24"/>
          <w:szCs w:val="24"/>
        </w:rPr>
        <w:t xml:space="preserve">. Lefebvre insiste ainsi sur la nécessité d’habiter son existence, plutôt que de la traverser sans laisser aucune trace. C’est pourtant cette seconde option que nos sociétés capitalistes favoriseraient en incitant l’individu à être toujours plus flexible, polyvalent, et adaptable au monde du travail et à son caractère uniformisant et standardisant. Dès lors, </w:t>
      </w:r>
      <w:r>
        <w:rPr>
          <w:rFonts w:ascii="Times New Roman" w:eastAsia="Times New Roman" w:hAnsi="Times New Roman" w:cs="Times New Roman"/>
          <w:i/>
          <w:iCs/>
          <w:sz w:val="24"/>
          <w:szCs w:val="24"/>
        </w:rPr>
        <w:t>habiter</w:t>
      </w:r>
      <w:r>
        <w:rPr>
          <w:rFonts w:ascii="Times New Roman" w:eastAsia="Times New Roman" w:hAnsi="Times New Roman" w:cs="Times New Roman"/>
          <w:sz w:val="24"/>
          <w:szCs w:val="24"/>
        </w:rPr>
        <w:t xml:space="preserve"> pleinement est une forme de résistance, une lutte en soi. Cette lutte individuelle devient collective en </w:t>
      </w:r>
      <w:proofErr w:type="spellStart"/>
      <w:r>
        <w:rPr>
          <w:rFonts w:ascii="Times New Roman" w:eastAsia="Times New Roman" w:hAnsi="Times New Roman" w:cs="Times New Roman"/>
          <w:i/>
          <w:iCs/>
          <w:sz w:val="24"/>
          <w:szCs w:val="24"/>
        </w:rPr>
        <w:t>co-habitant</w:t>
      </w:r>
      <w:proofErr w:type="spellEnd"/>
      <w:r>
        <w:rPr>
          <w:rFonts w:ascii="Times New Roman" w:eastAsia="Times New Roman" w:hAnsi="Times New Roman" w:cs="Times New Roman"/>
          <w:sz w:val="24"/>
          <w:szCs w:val="24"/>
        </w:rPr>
        <w:t xml:space="preserve">, système qui permet une mise en commun de plusieurs espaces tout en garantissant à </w:t>
      </w:r>
      <w:proofErr w:type="spellStart"/>
      <w:r>
        <w:rPr>
          <w:rFonts w:ascii="Times New Roman" w:eastAsia="Times New Roman" w:hAnsi="Times New Roman" w:cs="Times New Roman"/>
          <w:sz w:val="24"/>
          <w:szCs w:val="24"/>
        </w:rPr>
        <w:t>chacun·e</w:t>
      </w:r>
      <w:proofErr w:type="spellEnd"/>
      <w:r>
        <w:rPr>
          <w:rFonts w:ascii="Times New Roman" w:eastAsia="Times New Roman" w:hAnsi="Times New Roman" w:cs="Times New Roman"/>
          <w:sz w:val="24"/>
          <w:szCs w:val="24"/>
        </w:rPr>
        <w:t xml:space="preserve"> des espaces intimes et personnels. Cohabiter, c’est donc accepter une (re)construction sociale partagée. </w:t>
      </w:r>
    </w:p>
    <w:p w14:paraId="00000089"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L’idée de </w:t>
      </w:r>
      <w:r>
        <w:rPr>
          <w:rFonts w:ascii="Times New Roman" w:eastAsia="Times New Roman" w:hAnsi="Times New Roman" w:cs="Times New Roman"/>
          <w:i/>
          <w:iCs/>
          <w:sz w:val="24"/>
          <w:szCs w:val="24"/>
        </w:rPr>
        <w:t>s’approprier l’espace,</w:t>
      </w:r>
      <w:r>
        <w:rPr>
          <w:rFonts w:ascii="Times New Roman" w:eastAsia="Times New Roman" w:hAnsi="Times New Roman" w:cs="Times New Roman"/>
          <w:sz w:val="24"/>
          <w:szCs w:val="24"/>
        </w:rPr>
        <w:t xml:space="preserve"> évoquée dès notre première rencontre avec Fanny </w:t>
      </w:r>
      <w:proofErr w:type="spellStart"/>
      <w:r>
        <w:rPr>
          <w:rFonts w:ascii="Times New Roman" w:eastAsia="Times New Roman" w:hAnsi="Times New Roman" w:cs="Times New Roman"/>
          <w:sz w:val="24"/>
          <w:szCs w:val="24"/>
        </w:rPr>
        <w:t>Asselineau</w:t>
      </w:r>
      <w:proofErr w:type="spellEnd"/>
      <w:r>
        <w:rPr>
          <w:rFonts w:ascii="Times New Roman" w:eastAsia="Times New Roman" w:hAnsi="Times New Roman" w:cs="Times New Roman"/>
          <w:sz w:val="24"/>
          <w:szCs w:val="24"/>
        </w:rPr>
        <w:t xml:space="preserve">, est également centrale dans notre travail. Celle-ci désigne le fait de créer une relation affective personnelle avec un espace, elle permet de transformer </w:t>
      </w:r>
      <w:r>
        <w:rPr>
          <w:rFonts w:ascii="Times New Roman" w:eastAsia="Times New Roman" w:hAnsi="Times New Roman" w:cs="Times New Roman"/>
          <w:i/>
          <w:iCs/>
          <w:sz w:val="24"/>
          <w:szCs w:val="24"/>
        </w:rPr>
        <w:t>l’espace</w:t>
      </w:r>
      <w:r>
        <w:rPr>
          <w:rFonts w:ascii="Times New Roman" w:eastAsia="Times New Roman" w:hAnsi="Times New Roman" w:cs="Times New Roman"/>
          <w:sz w:val="24"/>
          <w:szCs w:val="24"/>
        </w:rPr>
        <w:t xml:space="preserve"> en </w:t>
      </w:r>
      <w:r>
        <w:rPr>
          <w:rFonts w:ascii="Times New Roman" w:eastAsia="Times New Roman" w:hAnsi="Times New Roman" w:cs="Times New Roman"/>
          <w:i/>
          <w:iCs/>
          <w:sz w:val="24"/>
          <w:szCs w:val="24"/>
        </w:rPr>
        <w:t>lieu</w:t>
      </w:r>
      <w:r>
        <w:rPr>
          <w:rFonts w:ascii="Times New Roman" w:eastAsia="Times New Roman" w:hAnsi="Times New Roman" w:cs="Times New Roman"/>
          <w:sz w:val="24"/>
          <w:szCs w:val="24"/>
        </w:rPr>
        <w:t xml:space="preserve"> en y ancrant souvenirs, émotions, et imaginaires. Dans une relation dialectique, on pourrait dire que l’individu façonne le lieu à son image. En retour, le lieu devient une composante de l’individu, un lieu où s'ancrent à jamais des souvenirs. </w:t>
      </w:r>
    </w:p>
    <w:p w14:paraId="0000008A" w14:textId="77777777" w:rsidR="004E766C" w:rsidRDefault="00000000">
      <w:pPr>
        <w:pStyle w:val="Titre4"/>
        <w:ind w:left="0"/>
      </w:pPr>
      <w:bookmarkStart w:id="34" w:name="_heading=h.84vveh5u7fkp" w:colFirst="0" w:colLast="0"/>
      <w:bookmarkEnd w:id="34"/>
      <w:proofErr w:type="gramStart"/>
      <w:r>
        <w:rPr>
          <w:i w:val="0"/>
          <w:iCs w:val="0"/>
          <w:color w:val="000000"/>
        </w:rPr>
        <w:lastRenderedPageBreak/>
        <w:t>𜰀</w:t>
      </w:r>
      <w:proofErr w:type="gramEnd"/>
      <w:r>
        <w:rPr>
          <w:i w:val="0"/>
          <w:iCs w:val="0"/>
          <w:color w:val="000000"/>
        </w:rPr>
        <w:t xml:space="preserve"> Habiter pour mieux rêver, rêver pour habiter </w:t>
      </w:r>
    </w:p>
    <w:p w14:paraId="0000008B"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Sur les conseils de l’architecte Florent </w:t>
      </w:r>
      <w:proofErr w:type="spellStart"/>
      <w:r>
        <w:rPr>
          <w:rFonts w:ascii="Times New Roman" w:eastAsia="Times New Roman" w:hAnsi="Times New Roman" w:cs="Times New Roman"/>
          <w:sz w:val="24"/>
          <w:szCs w:val="24"/>
        </w:rPr>
        <w:t>Ottello</w:t>
      </w:r>
      <w:proofErr w:type="spellEnd"/>
      <w:r>
        <w:rPr>
          <w:rFonts w:ascii="Times New Roman" w:eastAsia="Times New Roman" w:hAnsi="Times New Roman" w:cs="Times New Roman"/>
          <w:sz w:val="24"/>
          <w:szCs w:val="24"/>
        </w:rPr>
        <w:t xml:space="preserve">, nous avons ensuite souhaité explorer les liens entre l’habitat et le rêve en nous basant principalement sur les travaux de Gaston Bachelard. L’habitat est ainsi un réservoir d’imaginaire où l'on puise notre inspiration lorsque l’on n’y cherche pas le calme et le repos. Le rêve lui-même est un habitat où l’esprit séjourne le temps d’une nuit. Parallèlement, on pourrait dire que l’on habite nous-même nos souvenirs et nos imaginaires, avec nostalgie, ou à l’inverse avec traumatisme. Il y a donc une dualité entre </w:t>
      </w:r>
      <w:r>
        <w:rPr>
          <w:rFonts w:ascii="Times New Roman" w:eastAsia="Times New Roman" w:hAnsi="Times New Roman" w:cs="Times New Roman"/>
          <w:i/>
          <w:iCs/>
          <w:sz w:val="24"/>
          <w:szCs w:val="24"/>
        </w:rPr>
        <w:t>rêver pour habiter</w:t>
      </w:r>
      <w:r>
        <w:rPr>
          <w:rFonts w:ascii="Times New Roman" w:eastAsia="Times New Roman" w:hAnsi="Times New Roman" w:cs="Times New Roman"/>
          <w:sz w:val="24"/>
          <w:szCs w:val="24"/>
        </w:rPr>
        <w:t xml:space="preserve"> et </w:t>
      </w:r>
      <w:r>
        <w:rPr>
          <w:rFonts w:ascii="Times New Roman" w:eastAsia="Times New Roman" w:hAnsi="Times New Roman" w:cs="Times New Roman"/>
          <w:i/>
          <w:iCs/>
          <w:sz w:val="24"/>
          <w:szCs w:val="24"/>
        </w:rPr>
        <w:t xml:space="preserve">habiter pour rêver </w:t>
      </w:r>
      <w:r>
        <w:rPr>
          <w:rFonts w:ascii="Times New Roman" w:eastAsia="Times New Roman" w:hAnsi="Times New Roman" w:cs="Times New Roman"/>
          <w:sz w:val="24"/>
          <w:szCs w:val="24"/>
        </w:rPr>
        <w:t xml:space="preserve">tout à fait intéressante. </w:t>
      </w:r>
    </w:p>
    <w:p w14:paraId="0000008C"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Élisabeth Liotard avait quant à elle proposé l’idée qu’un lieu accueillant et hospitalier doit permettre aux femmes accompagnées de se </w:t>
      </w:r>
      <w:r>
        <w:rPr>
          <w:rFonts w:ascii="Times New Roman" w:eastAsia="Times New Roman" w:hAnsi="Times New Roman" w:cs="Times New Roman"/>
          <w:i/>
          <w:iCs/>
          <w:sz w:val="24"/>
          <w:szCs w:val="24"/>
        </w:rPr>
        <w:t>restaurer</w:t>
      </w:r>
      <w:r>
        <w:rPr>
          <w:rFonts w:ascii="Times New Roman" w:eastAsia="Times New Roman" w:hAnsi="Times New Roman" w:cs="Times New Roman"/>
          <w:sz w:val="24"/>
          <w:szCs w:val="24"/>
        </w:rPr>
        <w:t xml:space="preserve">, et la formule nous paraissait parfaitement adaptée à notre vision de cette démarche. </w:t>
      </w:r>
    </w:p>
    <w:p w14:paraId="0000008D" w14:textId="77777777" w:rsidR="004E766C" w:rsidRDefault="00000000">
      <w:pPr>
        <w:pStyle w:val="Titre3"/>
        <w:numPr>
          <w:ilvl w:val="0"/>
          <w:numId w:val="43"/>
        </w:numPr>
        <w:shd w:val="clear" w:color="auto" w:fill="FFFFFF"/>
        <w:spacing w:before="240" w:after="240"/>
      </w:pPr>
      <w:bookmarkStart w:id="35" w:name="_heading=h.mtosmt5pod8d" w:colFirst="0" w:colLast="0"/>
      <w:bookmarkEnd w:id="35"/>
      <w:r>
        <w:t xml:space="preserve">La notion de « pouvoir d’agir » et les débats qui l’entourent </w:t>
      </w:r>
    </w:p>
    <w:p w14:paraId="0000008E" w14:textId="77777777" w:rsidR="004E766C" w:rsidRDefault="00000000">
      <w:pPr>
        <w:pStyle w:val="Titre4"/>
        <w:ind w:left="0"/>
      </w:pPr>
      <w:bookmarkStart w:id="36" w:name="_heading=h.wdw30ccyj89v" w:colFirst="0" w:colLast="0"/>
      <w:bookmarkEnd w:id="36"/>
      <w:proofErr w:type="gramStart"/>
      <w:r>
        <w:rPr>
          <w:i w:val="0"/>
          <w:iCs w:val="0"/>
          <w:color w:val="000000"/>
        </w:rPr>
        <w:t>𜰀</w:t>
      </w:r>
      <w:proofErr w:type="gramEnd"/>
      <w:r>
        <w:rPr>
          <w:i w:val="0"/>
          <w:iCs w:val="0"/>
          <w:color w:val="000000"/>
        </w:rPr>
        <w:t xml:space="preserve"> Les différentes conceptions de la notion de pouvoir d’agir</w:t>
      </w:r>
      <w:r>
        <w:t xml:space="preserve"> </w:t>
      </w:r>
    </w:p>
    <w:p w14:paraId="0000008F"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autre de nos réflexions importantes a concerné la notion de </w:t>
      </w:r>
      <w:r>
        <w:rPr>
          <w:rFonts w:ascii="Times New Roman" w:eastAsia="Times New Roman" w:hAnsi="Times New Roman" w:cs="Times New Roman"/>
          <w:i/>
          <w:iCs/>
          <w:sz w:val="24"/>
          <w:szCs w:val="24"/>
        </w:rPr>
        <w:t>pouvoir d’agir</w:t>
      </w:r>
      <w:r>
        <w:rPr>
          <w:rFonts w:ascii="Times New Roman" w:eastAsia="Times New Roman" w:hAnsi="Times New Roman" w:cs="Times New Roman"/>
          <w:sz w:val="24"/>
          <w:szCs w:val="24"/>
        </w:rPr>
        <w:t xml:space="preserve"> que l’on retrouve également sous l’appellation </w:t>
      </w:r>
      <w:r>
        <w:rPr>
          <w:rFonts w:ascii="Times New Roman" w:eastAsia="Times New Roman" w:hAnsi="Times New Roman" w:cs="Times New Roman"/>
          <w:i/>
          <w:iCs/>
          <w:sz w:val="24"/>
          <w:szCs w:val="24"/>
        </w:rPr>
        <w:t>d’</w:t>
      </w:r>
      <w:proofErr w:type="spellStart"/>
      <w:r>
        <w:rPr>
          <w:rFonts w:ascii="Times New Roman" w:eastAsia="Times New Roman" w:hAnsi="Times New Roman" w:cs="Times New Roman"/>
          <w:i/>
          <w:iCs/>
          <w:sz w:val="24"/>
          <w:szCs w:val="24"/>
        </w:rPr>
        <w:t>empowerment</w:t>
      </w:r>
      <w:proofErr w:type="spellEnd"/>
      <w:r>
        <w:rPr>
          <w:rFonts w:ascii="Times New Roman" w:eastAsia="Times New Roman" w:hAnsi="Times New Roman" w:cs="Times New Roman"/>
          <w:sz w:val="24"/>
          <w:szCs w:val="24"/>
        </w:rPr>
        <w:t xml:space="preserve"> ou encore </w:t>
      </w:r>
      <w:r>
        <w:rPr>
          <w:rFonts w:ascii="Times New Roman" w:eastAsia="Times New Roman" w:hAnsi="Times New Roman" w:cs="Times New Roman"/>
          <w:i/>
          <w:iCs/>
          <w:sz w:val="24"/>
          <w:szCs w:val="24"/>
        </w:rPr>
        <w:t>d’</w:t>
      </w:r>
      <w:proofErr w:type="spellStart"/>
      <w:r>
        <w:rPr>
          <w:rFonts w:ascii="Times New Roman" w:eastAsia="Times New Roman" w:hAnsi="Times New Roman" w:cs="Times New Roman"/>
          <w:i/>
          <w:iCs/>
          <w:sz w:val="24"/>
          <w:szCs w:val="24"/>
        </w:rPr>
        <w:t>encapacitation</w:t>
      </w:r>
      <w:proofErr w:type="spellEnd"/>
      <w:r>
        <w:rPr>
          <w:rFonts w:ascii="Times New Roman" w:eastAsia="Times New Roman" w:hAnsi="Times New Roman" w:cs="Times New Roman"/>
          <w:sz w:val="24"/>
          <w:szCs w:val="24"/>
        </w:rPr>
        <w:t xml:space="preserve">. Selon </w:t>
      </w:r>
      <w:proofErr w:type="spellStart"/>
      <w:r>
        <w:rPr>
          <w:rFonts w:ascii="Times New Roman" w:eastAsia="Times New Roman" w:hAnsi="Times New Roman" w:cs="Times New Roman"/>
          <w:sz w:val="24"/>
          <w:szCs w:val="24"/>
        </w:rPr>
        <w:t>Marie-Hélène</w:t>
      </w:r>
      <w:proofErr w:type="spellEnd"/>
      <w:r>
        <w:rPr>
          <w:rFonts w:ascii="Times New Roman" w:eastAsia="Times New Roman" w:hAnsi="Times New Roman" w:cs="Times New Roman"/>
          <w:sz w:val="24"/>
          <w:szCs w:val="24"/>
        </w:rPr>
        <w:t xml:space="preserve"> Bacqué et Carole </w:t>
      </w:r>
      <w:proofErr w:type="spellStart"/>
      <w:r>
        <w:rPr>
          <w:rFonts w:ascii="Times New Roman" w:eastAsia="Times New Roman" w:hAnsi="Times New Roman" w:cs="Times New Roman"/>
          <w:sz w:val="24"/>
          <w:szCs w:val="24"/>
        </w:rPr>
        <w:t>Biewener</w:t>
      </w:r>
      <w:proofErr w:type="spellEnd"/>
      <w:r>
        <w:rPr>
          <w:rFonts w:ascii="Times New Roman" w:eastAsia="Times New Roman" w:hAnsi="Times New Roman" w:cs="Times New Roman"/>
          <w:sz w:val="24"/>
          <w:szCs w:val="24"/>
        </w:rPr>
        <w:t xml:space="preserve">, il faudrait distinguer deux versions de ce concept. On trouve d’un côté une conception </w:t>
      </w:r>
      <w:r>
        <w:rPr>
          <w:rFonts w:ascii="Times New Roman" w:eastAsia="Times New Roman" w:hAnsi="Times New Roman" w:cs="Times New Roman"/>
          <w:i/>
          <w:iCs/>
          <w:sz w:val="24"/>
          <w:szCs w:val="24"/>
        </w:rPr>
        <w:t>radicale</w:t>
      </w:r>
      <w:r>
        <w:rPr>
          <w:rFonts w:ascii="Times New Roman" w:eastAsia="Times New Roman" w:hAnsi="Times New Roman" w:cs="Times New Roman"/>
          <w:sz w:val="24"/>
          <w:szCs w:val="24"/>
        </w:rPr>
        <w:t xml:space="preserve"> de la notion qui est celle employée par les mouvements féministes, et qui vise « </w:t>
      </w:r>
      <w:r>
        <w:rPr>
          <w:rFonts w:ascii="Times New Roman" w:eastAsia="Times New Roman" w:hAnsi="Times New Roman" w:cs="Times New Roman"/>
          <w:i/>
          <w:iCs/>
          <w:sz w:val="24"/>
          <w:szCs w:val="24"/>
        </w:rPr>
        <w:t xml:space="preserve">à la reconnaissance des groupes </w:t>
      </w:r>
      <w:proofErr w:type="spellStart"/>
      <w:r>
        <w:rPr>
          <w:rFonts w:ascii="Times New Roman" w:eastAsia="Times New Roman" w:hAnsi="Times New Roman" w:cs="Times New Roman"/>
          <w:i/>
          <w:iCs/>
          <w:sz w:val="24"/>
          <w:szCs w:val="24"/>
        </w:rPr>
        <w:t>stigmatisés</w:t>
      </w:r>
      <w:proofErr w:type="spellEnd"/>
      <w:r>
        <w:rPr>
          <w:rFonts w:ascii="Times New Roman" w:eastAsia="Times New Roman" w:hAnsi="Times New Roman" w:cs="Times New Roman"/>
          <w:i/>
          <w:iCs/>
          <w:sz w:val="24"/>
          <w:szCs w:val="24"/>
        </w:rPr>
        <w:t xml:space="preserve"> et à leur </w:t>
      </w:r>
      <w:proofErr w:type="spellStart"/>
      <w:r>
        <w:rPr>
          <w:rFonts w:ascii="Times New Roman" w:eastAsia="Times New Roman" w:hAnsi="Times New Roman" w:cs="Times New Roman"/>
          <w:i/>
          <w:iCs/>
          <w:sz w:val="24"/>
          <w:szCs w:val="24"/>
        </w:rPr>
        <w:t>autodétermination</w:t>
      </w:r>
      <w:proofErr w:type="spellEnd"/>
      <w:r>
        <w:rPr>
          <w:rFonts w:ascii="Times New Roman" w:eastAsia="Times New Roman" w:hAnsi="Times New Roman" w:cs="Times New Roman"/>
          <w:sz w:val="24"/>
          <w:szCs w:val="24"/>
          <w:vertAlign w:val="superscript"/>
        </w:rPr>
        <w:footnoteReference w:id="8"/>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00000090"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première conception est donc à distinguer d’une version néolibérale, caractérisée selon le sociologue Mathieu </w:t>
      </w:r>
      <w:proofErr w:type="spellStart"/>
      <w:r>
        <w:rPr>
          <w:rFonts w:ascii="Times New Roman" w:eastAsia="Times New Roman" w:hAnsi="Times New Roman" w:cs="Times New Roman"/>
          <w:sz w:val="24"/>
          <w:szCs w:val="24"/>
        </w:rPr>
        <w:t>Depoil</w:t>
      </w:r>
      <w:proofErr w:type="spellEnd"/>
      <w:r>
        <w:rPr>
          <w:rFonts w:ascii="Times New Roman" w:eastAsia="Times New Roman" w:hAnsi="Times New Roman" w:cs="Times New Roman"/>
          <w:sz w:val="24"/>
          <w:szCs w:val="24"/>
        </w:rPr>
        <w:t xml:space="preserve"> par une individualisation des rapports sociaux (vision d’un individu auto-entrepreneur individualiste), une contribution à l’illusion de la démocratie participative (en offrant uniquement des choix symboliques qui contiennent le mécontentement social), et par une forme de marchandisation de l’émancipation</w:t>
      </w:r>
      <w:r>
        <w:rPr>
          <w:rFonts w:ascii="Times New Roman" w:eastAsia="Times New Roman" w:hAnsi="Times New Roman" w:cs="Times New Roman"/>
          <w:sz w:val="24"/>
          <w:szCs w:val="24"/>
          <w:vertAlign w:val="superscript"/>
        </w:rPr>
        <w:footnoteReference w:id="9"/>
      </w:r>
      <w:r>
        <w:rPr>
          <w:rFonts w:ascii="Times New Roman" w:eastAsia="Times New Roman" w:hAnsi="Times New Roman" w:cs="Times New Roman"/>
          <w:sz w:val="24"/>
          <w:szCs w:val="24"/>
        </w:rPr>
        <w:t xml:space="preserve">. Dans le champ de la santé et </w:t>
      </w:r>
      <w:proofErr w:type="gramStart"/>
      <w:r>
        <w:rPr>
          <w:rFonts w:ascii="Times New Roman" w:eastAsia="Times New Roman" w:hAnsi="Times New Roman" w:cs="Times New Roman"/>
          <w:sz w:val="24"/>
          <w:szCs w:val="24"/>
        </w:rPr>
        <w:t xml:space="preserve">du </w:t>
      </w:r>
      <w:r>
        <w:rPr>
          <w:rFonts w:ascii="Times New Roman" w:eastAsia="Times New Roman" w:hAnsi="Times New Roman" w:cs="Times New Roman"/>
          <w:i/>
          <w:iCs/>
          <w:sz w:val="24"/>
          <w:szCs w:val="24"/>
        </w:rPr>
        <w:t>care</w:t>
      </w:r>
      <w:proofErr w:type="gramEnd"/>
      <w:r>
        <w:rPr>
          <w:rFonts w:ascii="Times New Roman" w:eastAsia="Times New Roman" w:hAnsi="Times New Roman" w:cs="Times New Roman"/>
          <w:sz w:val="24"/>
          <w:szCs w:val="24"/>
        </w:rPr>
        <w:t xml:space="preserve"> tout comme dans celui du féminisme, c’est donc à son sens radical que le terme renvoie. Il sera donc entendu comme tel dans ce travail et nous favoriserons la formule de </w:t>
      </w:r>
      <w:r>
        <w:rPr>
          <w:rFonts w:ascii="Times New Roman" w:eastAsia="Times New Roman" w:hAnsi="Times New Roman" w:cs="Times New Roman"/>
          <w:i/>
          <w:iCs/>
          <w:sz w:val="24"/>
          <w:szCs w:val="24"/>
        </w:rPr>
        <w:t>pouvoir d’agir</w:t>
      </w:r>
      <w:r>
        <w:rPr>
          <w:rFonts w:ascii="Times New Roman" w:eastAsia="Times New Roman" w:hAnsi="Times New Roman" w:cs="Times New Roman"/>
          <w:sz w:val="24"/>
          <w:szCs w:val="24"/>
        </w:rPr>
        <w:t xml:space="preserve"> selon nous moins porteuse de cette ambiguïté. </w:t>
      </w:r>
    </w:p>
    <w:p w14:paraId="00000091" w14:textId="77777777" w:rsidR="004E766C" w:rsidRDefault="00000000">
      <w:pPr>
        <w:pStyle w:val="Titre4"/>
        <w:ind w:left="0"/>
      </w:pPr>
      <w:bookmarkStart w:id="37" w:name="_heading=h.ez66gqwi784r" w:colFirst="0" w:colLast="0"/>
      <w:bookmarkEnd w:id="37"/>
      <w:proofErr w:type="gramStart"/>
      <w:r>
        <w:rPr>
          <w:i w:val="0"/>
          <w:iCs w:val="0"/>
          <w:color w:val="000000"/>
        </w:rPr>
        <w:t>𜰀</w:t>
      </w:r>
      <w:proofErr w:type="gramEnd"/>
      <w:r>
        <w:rPr>
          <w:i w:val="0"/>
          <w:iCs w:val="0"/>
          <w:color w:val="000000"/>
        </w:rPr>
        <w:t xml:space="preserve"> La tension entre individu et collectif dans l’accompagnement des bénéficiaires </w:t>
      </w:r>
    </w:p>
    <w:p w14:paraId="00000092"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Il apparaît donc nécessaire pour une structure comme la Maison des Femmes de s’interroger sur ses missions, de soin et d’accompagnement d’une part, mais aussi sur les constructions sociales qui habitent chacune de ses membres. L’association doit donc se poser la question de la place laissée au collectif ou à la structure malgré sa focale individuelle. Il s’agit donc là aussi, non pas de trancher un débat épistémologique antérieur à la MDF, mais de s’interroger sur la dualité présente dans une association luttant pour les conditions de vie des femmes. L’analyse de Stéphanie Pache dans son article « L’histoire féministe de la “psychologisation des violences” » porte sur l’émergence des approches psychologiques des violences envers les femmes aux États-Unis à partir des années 1960-1970</w:t>
      </w:r>
      <w:r>
        <w:rPr>
          <w:rFonts w:ascii="Times New Roman" w:eastAsia="Times New Roman" w:hAnsi="Times New Roman" w:cs="Times New Roman"/>
          <w:sz w:val="24"/>
          <w:szCs w:val="24"/>
          <w:vertAlign w:val="superscript"/>
        </w:rPr>
        <w:footnoteReference w:id="10"/>
      </w:r>
      <w:r>
        <w:rPr>
          <w:rFonts w:ascii="Times New Roman" w:eastAsia="Times New Roman" w:hAnsi="Times New Roman" w:cs="Times New Roman"/>
          <w:sz w:val="24"/>
          <w:szCs w:val="24"/>
        </w:rPr>
        <w:t xml:space="preserve">. Ces approches </w:t>
      </w:r>
      <w:r>
        <w:rPr>
          <w:rFonts w:ascii="Times New Roman" w:eastAsia="Times New Roman" w:hAnsi="Times New Roman" w:cs="Times New Roman"/>
          <w:sz w:val="24"/>
          <w:szCs w:val="24"/>
        </w:rPr>
        <w:lastRenderedPageBreak/>
        <w:t>développées par des psychologues féministes cherchent à lutter contre les violences au travers de la reconnaissance de leurs effets psychiques sur les victimes et en mobilisant leur expertise dans les domaines clinique, juridique et politique. Aussi les concepts de « syndrome de la femme battue » proposé par Lenore Walker, qui regroupe les effets de l’emprise et des violences physiques sous une appellation commune, ou la reconnaissance du trouble de stress post‑traumatique, ont permis de rendre visibles les conséquences psychologiques des violences et de renforcer la crédibilité des victimes, notamment dans les procédures judiciaires. Pache souligne cependant les limites de l’approche psychologique des violences et les ambiguïtés des catégories psychologiques qui sont susceptibles d’individualiser des situations relevant d’une domination structurelle. L’autrice propose ainsi de dépasser l’opposition simpliste entre « psychologique » et « social » afin d’analyser la psychologisation des violences comme un processus historique et politique, issu d’un projet féministe visant à faire reconnaître l’expérience des victimes tout en transformant les institutions et les représentations des violences faites aux femmes.</w:t>
      </w:r>
    </w:p>
    <w:p w14:paraId="00000093" w14:textId="77777777" w:rsidR="004E766C" w:rsidRDefault="00000000">
      <w:pPr>
        <w:pStyle w:val="Titre3"/>
        <w:numPr>
          <w:ilvl w:val="0"/>
          <w:numId w:val="43"/>
        </w:numPr>
        <w:shd w:val="clear" w:color="auto" w:fill="FFFFFF"/>
        <w:spacing w:before="240" w:after="240"/>
      </w:pPr>
      <w:bookmarkStart w:id="38" w:name="_heading=h.hfezu4cr4lph" w:colFirst="0" w:colLast="0"/>
      <w:bookmarkEnd w:id="38"/>
      <w:r>
        <w:t>Quelle perspective féministe pour la Maison des Femmes ?</w:t>
      </w:r>
    </w:p>
    <w:p w14:paraId="00000094"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fur et à mesure de notre travail de recherche, la notion de féminisme nous est apparue omniprésente, diffuse, sans trop que l’on sache comment l’aborder. Si certains lieux analogues mettent la perspective féministe au cœur de leur identité visuelle et de leur communication, d’autres semblent l’atténuer en donnant une place plus importante à l’aspect purement hospitalier. Le sujet est complexe, et notre travail se contente ici de proposer des pistes de réflexion.  </w:t>
      </w:r>
    </w:p>
    <w:p w14:paraId="00000095"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Notre réflexion part d’un constat largement étayé par les travaux de la Haute Autorité de Santé, ou du Haut Conseil à l’Égalité : la santé est un lieu de reproduction d’inégalités </w:t>
      </w:r>
      <w:r>
        <w:rPr>
          <w:rFonts w:ascii="Times New Roman" w:eastAsia="Times New Roman" w:hAnsi="Times New Roman" w:cs="Times New Roman"/>
          <w:i/>
          <w:iCs/>
          <w:sz w:val="24"/>
          <w:szCs w:val="24"/>
        </w:rPr>
        <w:t>femmes / hommes</w:t>
      </w:r>
      <w:r>
        <w:rPr>
          <w:rFonts w:ascii="Times New Roman" w:eastAsia="Times New Roman" w:hAnsi="Times New Roman" w:cs="Times New Roman"/>
          <w:sz w:val="24"/>
          <w:szCs w:val="24"/>
        </w:rPr>
        <w:t xml:space="preserve">. Ce constat ancien s’explique par un ensemble de stéréotypes de genre, qui se reproduisent également dans les lieux de transmission de savoirs et selon lequel « </w:t>
      </w:r>
      <w:r>
        <w:rPr>
          <w:rFonts w:ascii="Times New Roman" w:eastAsia="Times New Roman" w:hAnsi="Times New Roman" w:cs="Times New Roman"/>
          <w:i/>
          <w:iCs/>
          <w:sz w:val="24"/>
          <w:szCs w:val="24"/>
        </w:rPr>
        <w:t>les différences de traitement entre femmes et hommes seraient relatives à ces différences, induisant des besoins différenciés lisibles par exemple dans les prévalences genrées des maladies qui seraient en quelque sorte nécessaires, incontournables, inévitables</w:t>
      </w:r>
      <w:r>
        <w:rPr>
          <w:rFonts w:ascii="Times New Roman" w:eastAsia="Times New Roman" w:hAnsi="Times New Roman" w:cs="Times New Roman"/>
          <w:sz w:val="24"/>
          <w:szCs w:val="24"/>
          <w:vertAlign w:val="superscript"/>
        </w:rPr>
        <w:footnoteReference w:id="11"/>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Ces stéréotypes ont des conséquences très concrètes telles que « </w:t>
      </w:r>
      <w:r>
        <w:rPr>
          <w:rFonts w:ascii="Times New Roman" w:eastAsia="Times New Roman" w:hAnsi="Times New Roman" w:cs="Times New Roman"/>
          <w:i/>
          <w:iCs/>
          <w:sz w:val="24"/>
          <w:szCs w:val="24"/>
        </w:rPr>
        <w:t xml:space="preserve">l’écoute différenciée accordée aux patientes </w:t>
      </w:r>
      <w:r>
        <w:rPr>
          <w:rFonts w:ascii="Times New Roman" w:eastAsia="Times New Roman" w:hAnsi="Times New Roman" w:cs="Times New Roman"/>
          <w:sz w:val="24"/>
          <w:szCs w:val="24"/>
        </w:rPr>
        <w:t xml:space="preserve">», qui « </w:t>
      </w:r>
      <w:r>
        <w:rPr>
          <w:rFonts w:ascii="Times New Roman" w:eastAsia="Times New Roman" w:hAnsi="Times New Roman" w:cs="Times New Roman"/>
          <w:i/>
          <w:iCs/>
          <w:sz w:val="24"/>
          <w:szCs w:val="24"/>
        </w:rPr>
        <w:t>conduit à poser leur diagnostic plus tardivement que pour les hommes</w:t>
      </w:r>
      <w:r>
        <w:rPr>
          <w:rFonts w:ascii="Times New Roman" w:eastAsia="Times New Roman" w:hAnsi="Times New Roman" w:cs="Times New Roman"/>
          <w:sz w:val="24"/>
          <w:szCs w:val="24"/>
          <w:vertAlign w:val="superscript"/>
        </w:rPr>
        <w:footnoteReference w:id="12"/>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w:t>
      </w:r>
    </w:p>
    <w:p w14:paraId="00000096"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question centrale est alors de savoir dans quelle définition ou perspective vis-à-vis du féminisme la Maison des Femmes de Lyon se place-t-elle ? Muriel Salle nous a proposé la formule de </w:t>
      </w:r>
      <w:r>
        <w:rPr>
          <w:rFonts w:ascii="Times New Roman" w:eastAsia="Times New Roman" w:hAnsi="Times New Roman" w:cs="Times New Roman"/>
          <w:i/>
          <w:iCs/>
          <w:sz w:val="24"/>
          <w:szCs w:val="24"/>
        </w:rPr>
        <w:t>lieu d’inspiration féministe</w:t>
      </w:r>
      <w:r>
        <w:rPr>
          <w:rFonts w:ascii="Times New Roman" w:eastAsia="Times New Roman" w:hAnsi="Times New Roman" w:cs="Times New Roman"/>
          <w:sz w:val="24"/>
          <w:szCs w:val="24"/>
        </w:rPr>
        <w:t xml:space="preserve">, qui nous semble parfaitement adaptée pour décrire le dispositif, puisqu’il est </w:t>
      </w:r>
      <w:proofErr w:type="spellStart"/>
      <w:r>
        <w:rPr>
          <w:rFonts w:ascii="Times New Roman" w:eastAsia="Times New Roman" w:hAnsi="Times New Roman" w:cs="Times New Roman"/>
          <w:sz w:val="24"/>
          <w:szCs w:val="24"/>
        </w:rPr>
        <w:t>co</w:t>
      </w:r>
      <w:proofErr w:type="spellEnd"/>
      <w:r>
        <w:rPr>
          <w:rFonts w:ascii="Times New Roman" w:eastAsia="Times New Roman" w:hAnsi="Times New Roman" w:cs="Times New Roman"/>
          <w:sz w:val="24"/>
          <w:szCs w:val="24"/>
        </w:rPr>
        <w:t xml:space="preserve">-porté par un collectif de neuf associations. Concernant les définitions du féminisme, s’il nous est naturellement impossible d’en retenir une seule, Muriel Salle nous en a suggéré quelques-unes, qui se complètent plus qu’elles ne s’opposent. Le Centre National de Ressources Textuelles et Lexicales (CNRTL) propose ainsi celle de « </w:t>
      </w:r>
      <w:r>
        <w:rPr>
          <w:rFonts w:ascii="Times New Roman" w:eastAsia="Times New Roman" w:hAnsi="Times New Roman" w:cs="Times New Roman"/>
          <w:i/>
          <w:iCs/>
          <w:sz w:val="24"/>
          <w:szCs w:val="24"/>
        </w:rPr>
        <w:t>Mouvement social qui a pour objet l’émancipation de la femme, l’extension de ses droits en vue d’égaliser son statut avec celui de l’homme, en particulier dans le domaine juridique, politique, économique</w:t>
      </w:r>
      <w:r>
        <w:rPr>
          <w:rFonts w:ascii="Times New Roman" w:eastAsia="Times New Roman" w:hAnsi="Times New Roman" w:cs="Times New Roman"/>
          <w:sz w:val="24"/>
          <w:szCs w:val="24"/>
          <w:vertAlign w:val="superscript"/>
        </w:rPr>
        <w:footnoteReference w:id="13"/>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 Dans son ouvrage « l’Anatomie politique » paru en 1981, Nicole-Claude Mathieu propose quant à elle la définition suivante : « </w:t>
      </w:r>
      <w:r>
        <w:rPr>
          <w:rFonts w:ascii="Times New Roman" w:eastAsia="Times New Roman" w:hAnsi="Times New Roman" w:cs="Times New Roman"/>
          <w:i/>
          <w:iCs/>
          <w:sz w:val="24"/>
          <w:szCs w:val="24"/>
        </w:rPr>
        <w:t xml:space="preserve">Analyse faite par des femmes (i.e. à partir de l’expérience </w:t>
      </w:r>
      <w:r>
        <w:rPr>
          <w:rFonts w:ascii="Times New Roman" w:eastAsia="Times New Roman" w:hAnsi="Times New Roman" w:cs="Times New Roman"/>
          <w:i/>
          <w:iCs/>
          <w:sz w:val="24"/>
          <w:szCs w:val="24"/>
        </w:rPr>
        <w:lastRenderedPageBreak/>
        <w:t>minoritaire) des mécanismes de l’oppression des femmes en tant que groupe ou classe par les hommes en tant que groupe ou classe, dans diverses sociétés, et volonté d’agir pour son abolition</w:t>
      </w:r>
      <w:r>
        <w:rPr>
          <w:rFonts w:ascii="Times New Roman" w:eastAsia="Times New Roman" w:hAnsi="Times New Roman" w:cs="Times New Roman"/>
          <w:sz w:val="24"/>
          <w:szCs w:val="24"/>
        </w:rPr>
        <w:t xml:space="preserve"> ». Ainsi, le féminisme « </w:t>
      </w:r>
      <w:r>
        <w:rPr>
          <w:rFonts w:ascii="Times New Roman" w:eastAsia="Times New Roman" w:hAnsi="Times New Roman" w:cs="Times New Roman"/>
          <w:i/>
          <w:iCs/>
          <w:sz w:val="24"/>
          <w:szCs w:val="24"/>
        </w:rPr>
        <w:t>part (…) de l’hypothèse du caractère transformable des rapports entre les sexes et de leurs définitions</w:t>
      </w:r>
      <w:r>
        <w:rPr>
          <w:rFonts w:ascii="Times New Roman" w:eastAsia="Times New Roman" w:hAnsi="Times New Roman" w:cs="Times New Roman"/>
          <w:sz w:val="24"/>
          <w:szCs w:val="24"/>
        </w:rPr>
        <w:t xml:space="preserve"> » pour citer Françoise </w:t>
      </w:r>
      <w:proofErr w:type="spellStart"/>
      <w:r>
        <w:rPr>
          <w:rFonts w:ascii="Times New Roman" w:eastAsia="Times New Roman" w:hAnsi="Times New Roman" w:cs="Times New Roman"/>
          <w:sz w:val="24"/>
          <w:szCs w:val="24"/>
        </w:rPr>
        <w:t>Collin</w:t>
      </w:r>
      <w:proofErr w:type="spellEnd"/>
      <w:r>
        <w:rPr>
          <w:rFonts w:ascii="Times New Roman" w:eastAsia="Times New Roman" w:hAnsi="Times New Roman" w:cs="Times New Roman"/>
          <w:sz w:val="24"/>
          <w:szCs w:val="24"/>
        </w:rPr>
        <w:t>.</w:t>
      </w:r>
    </w:p>
    <w:p w14:paraId="00000097"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placer dans une perspective féministe signifie partir du constat que « </w:t>
      </w:r>
      <w:r>
        <w:rPr>
          <w:rFonts w:ascii="Times New Roman" w:eastAsia="Times New Roman" w:hAnsi="Times New Roman" w:cs="Times New Roman"/>
          <w:i/>
          <w:iCs/>
          <w:sz w:val="24"/>
          <w:szCs w:val="24"/>
        </w:rPr>
        <w:t xml:space="preserve">le genre gouverne la socialisation des corps </w:t>
      </w:r>
      <w:r>
        <w:rPr>
          <w:rFonts w:ascii="Times New Roman" w:eastAsia="Times New Roman" w:hAnsi="Times New Roman" w:cs="Times New Roman"/>
          <w:sz w:val="24"/>
          <w:szCs w:val="24"/>
        </w:rPr>
        <w:t xml:space="preserve">», en organisant « </w:t>
      </w:r>
      <w:r>
        <w:rPr>
          <w:rFonts w:ascii="Times New Roman" w:eastAsia="Times New Roman" w:hAnsi="Times New Roman" w:cs="Times New Roman"/>
          <w:i/>
          <w:iCs/>
          <w:sz w:val="24"/>
          <w:szCs w:val="24"/>
        </w:rPr>
        <w:t>les rapports de pouvoir entre les hommes et les femmes et en leur attribuant des qualités et rôles a priori différenciés</w:t>
      </w:r>
      <w:r>
        <w:rPr>
          <w:rFonts w:ascii="Times New Roman" w:eastAsia="Times New Roman" w:hAnsi="Times New Roman" w:cs="Times New Roman"/>
          <w:sz w:val="24"/>
          <w:szCs w:val="24"/>
          <w:vertAlign w:val="superscript"/>
        </w:rPr>
        <w:footnoteReference w:id="14"/>
      </w:r>
      <w:r>
        <w:rPr>
          <w:rFonts w:ascii="Times New Roman" w:eastAsia="Times New Roman" w:hAnsi="Times New Roman" w:cs="Times New Roman"/>
          <w:sz w:val="24"/>
          <w:szCs w:val="24"/>
        </w:rPr>
        <w:t xml:space="preserve"> ». Le </w:t>
      </w:r>
      <w:r>
        <w:rPr>
          <w:rFonts w:ascii="Times New Roman" w:eastAsia="Times New Roman" w:hAnsi="Times New Roman" w:cs="Times New Roman"/>
          <w:i/>
          <w:iCs/>
          <w:sz w:val="24"/>
          <w:szCs w:val="24"/>
        </w:rPr>
        <w:t>genre</w:t>
      </w:r>
      <w:r>
        <w:rPr>
          <w:rFonts w:ascii="Times New Roman" w:eastAsia="Times New Roman" w:hAnsi="Times New Roman" w:cs="Times New Roman"/>
          <w:sz w:val="24"/>
          <w:szCs w:val="24"/>
        </w:rPr>
        <w:t xml:space="preserve"> doit être distingué du </w:t>
      </w:r>
      <w:r>
        <w:rPr>
          <w:rFonts w:ascii="Times New Roman" w:eastAsia="Times New Roman" w:hAnsi="Times New Roman" w:cs="Times New Roman"/>
          <w:i/>
          <w:iCs/>
          <w:sz w:val="24"/>
          <w:szCs w:val="24"/>
        </w:rPr>
        <w:t>sexe</w:t>
      </w:r>
      <w:r>
        <w:rPr>
          <w:rFonts w:ascii="Times New Roman" w:eastAsia="Times New Roman" w:hAnsi="Times New Roman" w:cs="Times New Roman"/>
          <w:sz w:val="24"/>
          <w:szCs w:val="24"/>
        </w:rPr>
        <w:t xml:space="preserve"> en ce qu’il permet essentiellement de </w:t>
      </w:r>
      <w:r>
        <w:rPr>
          <w:rFonts w:ascii="Times New Roman" w:eastAsia="Times New Roman" w:hAnsi="Times New Roman" w:cs="Times New Roman"/>
          <w:i/>
          <w:iCs/>
          <w:sz w:val="24"/>
          <w:szCs w:val="24"/>
        </w:rPr>
        <w:t>comprendre</w:t>
      </w:r>
      <w:r>
        <w:rPr>
          <w:rFonts w:ascii="Times New Roman" w:eastAsia="Times New Roman" w:hAnsi="Times New Roman" w:cs="Times New Roman"/>
          <w:sz w:val="24"/>
          <w:szCs w:val="24"/>
        </w:rPr>
        <w:t xml:space="preserve"> le social, là où le sexe permet principalement de le </w:t>
      </w:r>
      <w:r>
        <w:rPr>
          <w:rFonts w:ascii="Times New Roman" w:eastAsia="Times New Roman" w:hAnsi="Times New Roman" w:cs="Times New Roman"/>
          <w:i/>
          <w:iCs/>
          <w:sz w:val="24"/>
          <w:szCs w:val="24"/>
        </w:rPr>
        <w:t>décrire</w:t>
      </w:r>
      <w:r>
        <w:rPr>
          <w:rFonts w:ascii="Times New Roman" w:eastAsia="Times New Roman" w:hAnsi="Times New Roman" w:cs="Times New Roman"/>
          <w:sz w:val="24"/>
          <w:szCs w:val="24"/>
        </w:rPr>
        <w:t xml:space="preserve">. Isabelle Clair propose ainsi la définition suivante du genre : « </w:t>
      </w:r>
      <w:r>
        <w:rPr>
          <w:rFonts w:ascii="Times New Roman" w:eastAsia="Times New Roman" w:hAnsi="Times New Roman" w:cs="Times New Roman"/>
          <w:i/>
          <w:iCs/>
          <w:sz w:val="24"/>
          <w:szCs w:val="24"/>
        </w:rPr>
        <w:t xml:space="preserve">processus social global qui organise la </w:t>
      </w:r>
      <w:proofErr w:type="spellStart"/>
      <w:r>
        <w:rPr>
          <w:rFonts w:ascii="Times New Roman" w:eastAsia="Times New Roman" w:hAnsi="Times New Roman" w:cs="Times New Roman"/>
          <w:i/>
          <w:iCs/>
          <w:sz w:val="24"/>
          <w:szCs w:val="24"/>
        </w:rPr>
        <w:t>sociéte</w:t>
      </w:r>
      <w:proofErr w:type="spellEnd"/>
      <w:r>
        <w:rPr>
          <w:rFonts w:ascii="Times New Roman" w:eastAsia="Times New Roman" w:hAnsi="Times New Roman" w:cs="Times New Roman"/>
          <w:i/>
          <w:iCs/>
          <w:sz w:val="24"/>
          <w:szCs w:val="24"/>
        </w:rPr>
        <w:t xml:space="preserve">́ en deux </w:t>
      </w:r>
      <w:proofErr w:type="spellStart"/>
      <w:r>
        <w:rPr>
          <w:rFonts w:ascii="Times New Roman" w:eastAsia="Times New Roman" w:hAnsi="Times New Roman" w:cs="Times New Roman"/>
          <w:i/>
          <w:iCs/>
          <w:sz w:val="24"/>
          <w:szCs w:val="24"/>
        </w:rPr>
        <w:t>catégories</w:t>
      </w:r>
      <w:proofErr w:type="spellEnd"/>
      <w:r>
        <w:rPr>
          <w:rFonts w:ascii="Times New Roman" w:eastAsia="Times New Roman" w:hAnsi="Times New Roman" w:cs="Times New Roman"/>
          <w:i/>
          <w:iCs/>
          <w:sz w:val="24"/>
          <w:szCs w:val="24"/>
        </w:rPr>
        <w:t xml:space="preserve"> de sexe </w:t>
      </w:r>
      <w:proofErr w:type="spellStart"/>
      <w:r>
        <w:rPr>
          <w:rFonts w:ascii="Times New Roman" w:eastAsia="Times New Roman" w:hAnsi="Times New Roman" w:cs="Times New Roman"/>
          <w:i/>
          <w:iCs/>
          <w:sz w:val="24"/>
          <w:szCs w:val="24"/>
        </w:rPr>
        <w:t>hiérarchisées</w:t>
      </w:r>
      <w:proofErr w:type="spellEnd"/>
      <w:r>
        <w:rPr>
          <w:rFonts w:ascii="Times New Roman" w:eastAsia="Times New Roman" w:hAnsi="Times New Roman" w:cs="Times New Roman"/>
          <w:i/>
          <w:iCs/>
          <w:sz w:val="24"/>
          <w:szCs w:val="24"/>
        </w:rPr>
        <w:t xml:space="preserve"> et </w:t>
      </w:r>
      <w:proofErr w:type="spellStart"/>
      <w:r>
        <w:rPr>
          <w:rFonts w:ascii="Times New Roman" w:eastAsia="Times New Roman" w:hAnsi="Times New Roman" w:cs="Times New Roman"/>
          <w:i/>
          <w:iCs/>
          <w:sz w:val="24"/>
          <w:szCs w:val="24"/>
        </w:rPr>
        <w:t>complémentaires</w:t>
      </w:r>
      <w:proofErr w:type="spellEnd"/>
      <w:r>
        <w:rPr>
          <w:rFonts w:ascii="Times New Roman" w:eastAsia="Times New Roman" w:hAnsi="Times New Roman" w:cs="Times New Roman"/>
          <w:i/>
          <w:iCs/>
          <w:sz w:val="24"/>
          <w:szCs w:val="24"/>
        </w:rPr>
        <w:t>, les femmes et les hommes</w:t>
      </w:r>
      <w:r>
        <w:rPr>
          <w:rFonts w:ascii="Times New Roman" w:eastAsia="Times New Roman" w:hAnsi="Times New Roman" w:cs="Times New Roman"/>
          <w:sz w:val="24"/>
          <w:szCs w:val="24"/>
          <w:vertAlign w:val="superscript"/>
        </w:rPr>
        <w:footnoteReference w:id="15"/>
      </w:r>
      <w:r>
        <w:rPr>
          <w:rFonts w:ascii="Times New Roman" w:eastAsia="Times New Roman" w:hAnsi="Times New Roman" w:cs="Times New Roman"/>
          <w:sz w:val="24"/>
          <w:szCs w:val="24"/>
        </w:rPr>
        <w:t xml:space="preserve"> ». </w:t>
      </w:r>
    </w:p>
    <w:p w14:paraId="00000098"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Dès lors, se placer dans une telle perspective dans le champ hospitalier permet d’adopter une analyse systémique, et non plus seulement individuelle de la santé. Cette analyse est fondée sur </w:t>
      </w:r>
      <w:proofErr w:type="gramStart"/>
      <w:r>
        <w:rPr>
          <w:rFonts w:ascii="Times New Roman" w:eastAsia="Times New Roman" w:hAnsi="Times New Roman" w:cs="Times New Roman"/>
          <w:sz w:val="24"/>
          <w:szCs w:val="24"/>
        </w:rPr>
        <w:t xml:space="preserve">le </w:t>
      </w:r>
      <w:r>
        <w:rPr>
          <w:rFonts w:ascii="Times New Roman" w:eastAsia="Times New Roman" w:hAnsi="Times New Roman" w:cs="Times New Roman"/>
          <w:i/>
          <w:iCs/>
          <w:sz w:val="24"/>
          <w:szCs w:val="24"/>
        </w:rPr>
        <w:t>care</w:t>
      </w:r>
      <w:proofErr w:type="gramEnd"/>
      <w:r>
        <w:rPr>
          <w:rFonts w:ascii="Times New Roman" w:eastAsia="Times New Roman" w:hAnsi="Times New Roman" w:cs="Times New Roman"/>
          <w:sz w:val="24"/>
          <w:szCs w:val="24"/>
        </w:rPr>
        <w:t xml:space="preserve">, concept défini comme « </w:t>
      </w:r>
      <w:r>
        <w:rPr>
          <w:rFonts w:ascii="Times New Roman" w:eastAsia="Times New Roman" w:hAnsi="Times New Roman" w:cs="Times New Roman"/>
          <w:i/>
          <w:iCs/>
          <w:sz w:val="24"/>
          <w:szCs w:val="24"/>
        </w:rPr>
        <w:t xml:space="preserve">une attitude envers autrui qui englobe l’attention (une </w:t>
      </w:r>
      <w:proofErr w:type="spellStart"/>
      <w:r>
        <w:rPr>
          <w:rFonts w:ascii="Times New Roman" w:eastAsia="Times New Roman" w:hAnsi="Times New Roman" w:cs="Times New Roman"/>
          <w:i/>
          <w:iCs/>
          <w:sz w:val="24"/>
          <w:szCs w:val="24"/>
        </w:rPr>
        <w:t>manière</w:t>
      </w:r>
      <w:proofErr w:type="spellEnd"/>
      <w:r>
        <w:rPr>
          <w:rFonts w:ascii="Times New Roman" w:eastAsia="Times New Roman" w:hAnsi="Times New Roman" w:cs="Times New Roman"/>
          <w:i/>
          <w:iCs/>
          <w:sz w:val="24"/>
          <w:szCs w:val="24"/>
        </w:rPr>
        <w:t xml:space="preserve"> de percevoir le monde et les autres), le souci et la sollicitude (une </w:t>
      </w:r>
      <w:proofErr w:type="spellStart"/>
      <w:r>
        <w:rPr>
          <w:rFonts w:ascii="Times New Roman" w:eastAsia="Times New Roman" w:hAnsi="Times New Roman" w:cs="Times New Roman"/>
          <w:i/>
          <w:iCs/>
          <w:sz w:val="24"/>
          <w:szCs w:val="24"/>
        </w:rPr>
        <w:t>manière</w:t>
      </w:r>
      <w:proofErr w:type="spellEnd"/>
      <w:r>
        <w:rPr>
          <w:rFonts w:ascii="Times New Roman" w:eastAsia="Times New Roman" w:hAnsi="Times New Roman" w:cs="Times New Roman"/>
          <w:i/>
          <w:iCs/>
          <w:sz w:val="24"/>
          <w:szCs w:val="24"/>
        </w:rPr>
        <w:t xml:space="preserve"> d’</w:t>
      </w:r>
      <w:proofErr w:type="spellStart"/>
      <w:r>
        <w:rPr>
          <w:rFonts w:ascii="Times New Roman" w:eastAsia="Times New Roman" w:hAnsi="Times New Roman" w:cs="Times New Roman"/>
          <w:i/>
          <w:iCs/>
          <w:sz w:val="24"/>
          <w:szCs w:val="24"/>
        </w:rPr>
        <w:t>être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préoccupe</w:t>
      </w:r>
      <w:proofErr w:type="spellEnd"/>
      <w:r>
        <w:rPr>
          <w:rFonts w:ascii="Times New Roman" w:eastAsia="Times New Roman" w:hAnsi="Times New Roman" w:cs="Times New Roman"/>
          <w:i/>
          <w:iCs/>
          <w:sz w:val="24"/>
          <w:szCs w:val="24"/>
        </w:rPr>
        <w:t xml:space="preserve">́ par les autres) et le soin (une </w:t>
      </w:r>
      <w:proofErr w:type="spellStart"/>
      <w:r>
        <w:rPr>
          <w:rFonts w:ascii="Times New Roman" w:eastAsia="Times New Roman" w:hAnsi="Times New Roman" w:cs="Times New Roman"/>
          <w:i/>
          <w:iCs/>
          <w:sz w:val="24"/>
          <w:szCs w:val="24"/>
        </w:rPr>
        <w:t>manière</w:t>
      </w:r>
      <w:proofErr w:type="spellEnd"/>
      <w:r>
        <w:rPr>
          <w:rFonts w:ascii="Times New Roman" w:eastAsia="Times New Roman" w:hAnsi="Times New Roman" w:cs="Times New Roman"/>
          <w:i/>
          <w:iCs/>
          <w:sz w:val="24"/>
          <w:szCs w:val="24"/>
        </w:rPr>
        <w:t xml:space="preserve"> de s’occuper </w:t>
      </w:r>
      <w:proofErr w:type="spellStart"/>
      <w:r>
        <w:rPr>
          <w:rFonts w:ascii="Times New Roman" w:eastAsia="Times New Roman" w:hAnsi="Times New Roman" w:cs="Times New Roman"/>
          <w:i/>
          <w:iCs/>
          <w:sz w:val="24"/>
          <w:szCs w:val="24"/>
        </w:rPr>
        <w:t>concrètement</w:t>
      </w:r>
      <w:proofErr w:type="spellEnd"/>
      <w:r>
        <w:rPr>
          <w:rFonts w:ascii="Times New Roman" w:eastAsia="Times New Roman" w:hAnsi="Times New Roman" w:cs="Times New Roman"/>
          <w:i/>
          <w:iCs/>
          <w:sz w:val="24"/>
          <w:szCs w:val="24"/>
        </w:rPr>
        <w:t xml:space="preserve"> des autres)</w:t>
      </w:r>
      <w:r>
        <w:rPr>
          <w:rFonts w:ascii="Times New Roman" w:eastAsia="Times New Roman" w:hAnsi="Times New Roman" w:cs="Times New Roman"/>
          <w:sz w:val="24"/>
          <w:szCs w:val="24"/>
          <w:vertAlign w:val="superscript"/>
        </w:rPr>
        <w:footnoteReference w:id="16"/>
      </w:r>
      <w:r>
        <w:rPr>
          <w:rFonts w:ascii="Times New Roman" w:eastAsia="Times New Roman" w:hAnsi="Times New Roman" w:cs="Times New Roman"/>
          <w:sz w:val="24"/>
          <w:szCs w:val="24"/>
        </w:rPr>
        <w:t xml:space="preserve"> ». </w:t>
      </w:r>
    </w:p>
    <w:p w14:paraId="00000099" w14:textId="77777777" w:rsidR="004E766C" w:rsidRDefault="00000000">
      <w:pPr>
        <w:shd w:val="clear" w:color="auto" w:fill="FFFFFF"/>
        <w:spacing w:before="240" w:after="240" w:line="240" w:lineRule="auto"/>
        <w:jc w:val="both"/>
        <w:rPr>
          <w:rFonts w:ascii="Times New Roman" w:eastAsia="Times New Roman" w:hAnsi="Times New Roman" w:cs="Times New Roman"/>
          <w:color w:val="FF0000"/>
          <w:sz w:val="24"/>
          <w:szCs w:val="24"/>
        </w:rPr>
      </w:pPr>
      <w:r>
        <w:rPr>
          <w:rFonts w:ascii="Times New Roman" w:eastAsia="Times New Roman" w:hAnsi="Times New Roman" w:cs="Times New Roman"/>
          <w:sz w:val="24"/>
          <w:szCs w:val="24"/>
        </w:rPr>
        <w:t xml:space="preserve">D’autre part, la notion d’hospitalité féministe nous paraît capitale. On peut la définir comme une manière de penser l’accueil et le soin en rupture totale avec la conception patriarcale (idée de la nécessité d’un </w:t>
      </w:r>
      <w:r>
        <w:rPr>
          <w:rFonts w:ascii="Times New Roman" w:eastAsia="Times New Roman" w:hAnsi="Times New Roman" w:cs="Times New Roman"/>
          <w:i/>
          <w:iCs/>
          <w:sz w:val="24"/>
          <w:szCs w:val="24"/>
        </w:rPr>
        <w:t>chef de famille</w:t>
      </w:r>
      <w:r>
        <w:rPr>
          <w:rFonts w:ascii="Times New Roman" w:eastAsia="Times New Roman" w:hAnsi="Times New Roman" w:cs="Times New Roman"/>
          <w:sz w:val="24"/>
          <w:szCs w:val="24"/>
        </w:rPr>
        <w:t xml:space="preserve">…) en déconstruisant le partage genré des tâches, et fondée sur l’horizontalité entre hôte et </w:t>
      </w:r>
      <w:proofErr w:type="spellStart"/>
      <w:r>
        <w:rPr>
          <w:rFonts w:ascii="Times New Roman" w:eastAsia="Times New Roman" w:hAnsi="Times New Roman" w:cs="Times New Roman"/>
          <w:sz w:val="24"/>
          <w:szCs w:val="24"/>
        </w:rPr>
        <w:t>invité·e</w:t>
      </w:r>
      <w:proofErr w:type="spellEnd"/>
      <w:r>
        <w:rPr>
          <w:rFonts w:ascii="Times New Roman" w:eastAsia="Times New Roman" w:hAnsi="Times New Roman" w:cs="Times New Roman"/>
          <w:sz w:val="24"/>
          <w:szCs w:val="24"/>
        </w:rPr>
        <w:t xml:space="preserve"> et sur une réciprocité réelle (tout l’inverse de la redevabilité). Elle cherche en somme à rendre visible le travail invisible de l’accueil historiquement assigné aux femmes.     </w:t>
      </w:r>
    </w:p>
    <w:p w14:paraId="0000009A" w14:textId="77777777" w:rsidR="004E766C" w:rsidRDefault="004E766C">
      <w:pPr>
        <w:pStyle w:val="Titre2"/>
        <w:numPr>
          <w:ilvl w:val="0"/>
          <w:numId w:val="54"/>
        </w:numPr>
        <w:rPr>
          <w:color w:val="FFFFFF"/>
        </w:rPr>
      </w:pPr>
      <w:bookmarkStart w:id="39" w:name="_heading=h.l6186m7kdc51" w:colFirst="0" w:colLast="0"/>
      <w:bookmarkEnd w:id="39"/>
    </w:p>
    <w:p w14:paraId="0000009B" w14:textId="77777777" w:rsidR="004E766C" w:rsidRDefault="00000000">
      <w:pPr>
        <w:pStyle w:val="Titre2"/>
        <w:numPr>
          <w:ilvl w:val="0"/>
          <w:numId w:val="54"/>
        </w:numPr>
        <w:rPr>
          <w:color w:val="000000"/>
        </w:rPr>
      </w:pPr>
      <w:bookmarkStart w:id="40" w:name="_heading=h.xr9tc66bpgic" w:colFirst="0" w:colLast="0"/>
      <w:bookmarkEnd w:id="40"/>
      <w:r>
        <w:rPr>
          <w:color w:val="000000"/>
        </w:rPr>
        <w:t xml:space="preserve">Construire une culture commune malgré la diversité des professions </w:t>
      </w:r>
    </w:p>
    <w:p w14:paraId="0000009C" w14:textId="77777777" w:rsidR="004E766C" w:rsidRDefault="004E766C"/>
    <w:p w14:paraId="0000009D" w14:textId="77777777" w:rsidR="004E766C" w:rsidRDefault="00000000">
      <w:pPr>
        <w:pStyle w:val="Titre3"/>
        <w:numPr>
          <w:ilvl w:val="0"/>
          <w:numId w:val="51"/>
        </w:numPr>
      </w:pPr>
      <w:bookmarkStart w:id="41" w:name="_heading=h.rvqltmcfgedg" w:colFirst="0" w:colLast="0"/>
      <w:bookmarkEnd w:id="41"/>
      <w:r>
        <w:t xml:space="preserve"> Le concept de culture commune</w:t>
      </w:r>
    </w:p>
    <w:p w14:paraId="0000009E"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culture commune est une notion centrale dans la formulation de notre problématique</w:t>
      </w:r>
      <w:r>
        <w:rPr>
          <w:rFonts w:ascii="Times New Roman" w:eastAsia="Times New Roman" w:hAnsi="Times New Roman" w:cs="Times New Roman"/>
          <w:sz w:val="24"/>
          <w:szCs w:val="24"/>
          <w:vertAlign w:val="superscript"/>
        </w:rPr>
        <w:footnoteReference w:id="17"/>
      </w:r>
      <w:r>
        <w:rPr>
          <w:rFonts w:ascii="Times New Roman" w:eastAsia="Times New Roman" w:hAnsi="Times New Roman" w:cs="Times New Roman"/>
          <w:sz w:val="24"/>
          <w:szCs w:val="24"/>
        </w:rPr>
        <w:t xml:space="preserve">. L’idée de « culture commune », à la fois dans l’ensemble de la MDF mais également entre les professionnelles, désigne l’idée d’un socle commun interdisciplinaire permettant une meilleure coopération, compréhension et cohésion. Chacune doit alors passer par un processus d’acculturation, c'est-à-dire d’appropriation d’une culture qu’elle ne connaît pas, en même temps qu’elle fait partager la sienne pour créer une nouvelle culture qui sera partagée. Toutefois, cette notion ne doit pas être confondue avec celle d’uniformisation. La spécificité a en effet toujours sa place, et la communication doit permettre à chacune de </w:t>
      </w:r>
      <w:proofErr w:type="gramStart"/>
      <w:r>
        <w:rPr>
          <w:rFonts w:ascii="Times New Roman" w:eastAsia="Times New Roman" w:hAnsi="Times New Roman" w:cs="Times New Roman"/>
          <w:sz w:val="24"/>
          <w:szCs w:val="24"/>
        </w:rPr>
        <w:t>l’exprimer ,</w:t>
      </w:r>
      <w:proofErr w:type="gramEnd"/>
      <w:r>
        <w:rPr>
          <w:rFonts w:ascii="Times New Roman" w:eastAsia="Times New Roman" w:hAnsi="Times New Roman" w:cs="Times New Roman"/>
          <w:sz w:val="24"/>
          <w:szCs w:val="24"/>
        </w:rPr>
        <w:t xml:space="preserve"> d'où l'importance des temps d’échange « informels ». Pour Élisabeth Liotard, ce sont justement ces moments qui permettent la création d’une culture commune car la parole y </w:t>
      </w:r>
      <w:r>
        <w:rPr>
          <w:rFonts w:ascii="Times New Roman" w:eastAsia="Times New Roman" w:hAnsi="Times New Roman" w:cs="Times New Roman"/>
          <w:sz w:val="24"/>
          <w:szCs w:val="24"/>
        </w:rPr>
        <w:lastRenderedPageBreak/>
        <w:t>est en effet plus sincère et fluide. La création de cette culture commune est donc un processus permanent, dont la communication est à la fois la fin et le moyen.</w:t>
      </w:r>
    </w:p>
    <w:p w14:paraId="0000009F"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Cependant, tous les métiers ne sont pas égaux face au processus d’acculturation nécessaire à la création d’une culture commune.  La sociologie des professions distingue le travail, c’est-à-dire l’activité rémunératrice, de la profession définie par capacité à s’imposer en tant qu’institution en convaincant l'État de lui accorder un monopole légal au prix d'une garantie de compétence et d'éthique</w:t>
      </w:r>
      <w:r>
        <w:rPr>
          <w:rFonts w:ascii="Times New Roman" w:eastAsia="Times New Roman" w:hAnsi="Times New Roman" w:cs="Times New Roman"/>
          <w:sz w:val="24"/>
          <w:szCs w:val="24"/>
          <w:vertAlign w:val="superscript"/>
        </w:rPr>
        <w:footnoteReference w:id="18"/>
      </w:r>
      <w:r>
        <w:rPr>
          <w:rFonts w:ascii="Times New Roman" w:eastAsia="Times New Roman" w:hAnsi="Times New Roman" w:cs="Times New Roman"/>
          <w:sz w:val="24"/>
          <w:szCs w:val="24"/>
        </w:rPr>
        <w:t>. Cet échange peut donc être résumé par la détention d’un savoir technique rétribué institutionnellement par une autonomie des normes et du contrôle de la profession</w:t>
      </w:r>
      <w:r>
        <w:rPr>
          <w:rFonts w:ascii="Times New Roman" w:eastAsia="Times New Roman" w:hAnsi="Times New Roman" w:cs="Times New Roman"/>
          <w:sz w:val="24"/>
          <w:szCs w:val="24"/>
          <w:vertAlign w:val="superscript"/>
        </w:rPr>
        <w:footnoteReference w:id="19"/>
      </w:r>
      <w:r>
        <w:rPr>
          <w:rFonts w:ascii="Times New Roman" w:eastAsia="Times New Roman" w:hAnsi="Times New Roman" w:cs="Times New Roman"/>
          <w:sz w:val="24"/>
          <w:szCs w:val="24"/>
        </w:rPr>
        <w:t xml:space="preserve">. Ainsi, passer du statut de travailleuse à celui de professionnelle consiste à transformer une activité en une institution reconnue, capable de s'auto-réguler et de se protéger de la concurrence extérieure tout en imposant ses propres normes. À titre d’exemple, les </w:t>
      </w:r>
      <w:r>
        <w:rPr>
          <w:rFonts w:ascii="Times New Roman" w:eastAsia="Times New Roman" w:hAnsi="Times New Roman" w:cs="Times New Roman"/>
          <w:i/>
          <w:iCs/>
          <w:sz w:val="24"/>
          <w:szCs w:val="24"/>
        </w:rPr>
        <w:t>numerus clausus</w:t>
      </w:r>
      <w:r>
        <w:rPr>
          <w:rFonts w:ascii="Times New Roman" w:eastAsia="Times New Roman" w:hAnsi="Times New Roman" w:cs="Times New Roman"/>
          <w:sz w:val="24"/>
          <w:szCs w:val="24"/>
        </w:rPr>
        <w:t xml:space="preserve"> imposés par le Syndicat Autonome des Enseignants Médecins en réaction aux politiques de massification scolaire et en réaction aux événements de Mai 68 constitue un exercice de </w:t>
      </w:r>
      <w:proofErr w:type="gramStart"/>
      <w:r>
        <w:rPr>
          <w:rFonts w:ascii="Times New Roman" w:eastAsia="Times New Roman" w:hAnsi="Times New Roman" w:cs="Times New Roman"/>
          <w:sz w:val="24"/>
          <w:szCs w:val="24"/>
        </w:rPr>
        <w:t>l’auto régulation</w:t>
      </w:r>
      <w:proofErr w:type="gramEnd"/>
      <w:r>
        <w:rPr>
          <w:rFonts w:ascii="Times New Roman" w:eastAsia="Times New Roman" w:hAnsi="Times New Roman" w:cs="Times New Roman"/>
          <w:sz w:val="24"/>
          <w:szCs w:val="24"/>
        </w:rPr>
        <w:t xml:space="preserve"> de la profession de médecin</w:t>
      </w:r>
      <w:r>
        <w:rPr>
          <w:rFonts w:ascii="Times New Roman" w:eastAsia="Times New Roman" w:hAnsi="Times New Roman" w:cs="Times New Roman"/>
          <w:sz w:val="24"/>
          <w:szCs w:val="24"/>
          <w:vertAlign w:val="superscript"/>
        </w:rPr>
        <w:footnoteReference w:id="20"/>
      </w:r>
      <w:r>
        <w:rPr>
          <w:rFonts w:ascii="Times New Roman" w:eastAsia="Times New Roman" w:hAnsi="Times New Roman" w:cs="Times New Roman"/>
          <w:sz w:val="24"/>
          <w:szCs w:val="24"/>
        </w:rPr>
        <w:t xml:space="preserve">. </w:t>
      </w:r>
    </w:p>
    <w:p w14:paraId="000000A0" w14:textId="77777777" w:rsidR="004E766C" w:rsidRDefault="00000000">
      <w:pPr>
        <w:pStyle w:val="Titre3"/>
        <w:numPr>
          <w:ilvl w:val="0"/>
          <w:numId w:val="51"/>
        </w:numPr>
      </w:pPr>
      <w:bookmarkStart w:id="42" w:name="_heading=h.x99bow2ku6za" w:colFirst="0" w:colLast="0"/>
      <w:bookmarkEnd w:id="42"/>
      <w:r>
        <w:t xml:space="preserve">La diversité des professionnelles à la MDF </w:t>
      </w:r>
    </w:p>
    <w:p w14:paraId="000000A1" w14:textId="77777777" w:rsidR="004E766C" w:rsidRDefault="00000000">
      <w:pPr>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Maison des Femmes accueille en son sein une pluralité de professions auxquelles incombent des cultures communes hétérogènes. Ce point nous a paru essentiel dans le travail académique que nous avons accompli car la notion d’hospitalité est intrinsèquement dépendante de la culture qui la conceptualise. Il est naturel que toutes les professions n’en aient pas une définition commune d’emblée. Notamment car il semble plus facile ou accepté pour certains métiers de s’emparer de l’horizontalité que la notion d’hospitalité exige que pour d’autres, car les cultures communes, c’est-à-</w:t>
      </w:r>
      <w:proofErr w:type="gramStart"/>
      <w:r>
        <w:rPr>
          <w:rFonts w:ascii="Times New Roman" w:eastAsia="Times New Roman" w:hAnsi="Times New Roman" w:cs="Times New Roman"/>
          <w:sz w:val="24"/>
          <w:szCs w:val="24"/>
        </w:rPr>
        <w:t>dire  l’ensemble</w:t>
      </w:r>
      <w:proofErr w:type="gramEnd"/>
      <w:r>
        <w:rPr>
          <w:rFonts w:ascii="Times New Roman" w:eastAsia="Times New Roman" w:hAnsi="Times New Roman" w:cs="Times New Roman"/>
          <w:sz w:val="24"/>
          <w:szCs w:val="24"/>
        </w:rPr>
        <w:t xml:space="preserve"> des normes, valeurs, savoirs et représentations partagés par les membres d’un groupe professionnel, acquis par la socialisation professionnelle et orientant les manières d’agir, de juger et de définir les bonnes pratiques au sein du métier</w:t>
      </w:r>
      <w:r>
        <w:rPr>
          <w:rFonts w:ascii="Times New Roman" w:eastAsia="Times New Roman" w:hAnsi="Times New Roman" w:cs="Times New Roman"/>
          <w:sz w:val="24"/>
          <w:szCs w:val="24"/>
          <w:vertAlign w:val="superscript"/>
        </w:rPr>
        <w:footnoteReference w:id="21"/>
      </w:r>
      <w:r>
        <w:rPr>
          <w:rFonts w:ascii="Times New Roman" w:eastAsia="Times New Roman" w:hAnsi="Times New Roman" w:cs="Times New Roman"/>
          <w:sz w:val="24"/>
          <w:szCs w:val="24"/>
        </w:rPr>
        <w:t xml:space="preserve"> sont propres à chaque profession. Il nous a donc semblé pertinent de faire un état des cultures communes des familles de professions représentées au sein de la Maison des Femmes de Lyon. Les professions ont été divisées en trois grandes familles : les professions médicales d’une part, puis les juristes, et enfin les </w:t>
      </w:r>
      <w:proofErr w:type="spellStart"/>
      <w:r>
        <w:rPr>
          <w:rFonts w:ascii="Times New Roman" w:eastAsia="Times New Roman" w:hAnsi="Times New Roman" w:cs="Times New Roman"/>
          <w:sz w:val="24"/>
          <w:szCs w:val="24"/>
        </w:rPr>
        <w:t>professionnel·les</w:t>
      </w:r>
      <w:proofErr w:type="spellEnd"/>
      <w:r>
        <w:rPr>
          <w:rFonts w:ascii="Times New Roman" w:eastAsia="Times New Roman" w:hAnsi="Times New Roman" w:cs="Times New Roman"/>
          <w:sz w:val="24"/>
          <w:szCs w:val="24"/>
        </w:rPr>
        <w:t xml:space="preserve"> de l’intervention sociale comme les psychologues et les </w:t>
      </w:r>
      <w:proofErr w:type="spellStart"/>
      <w:r>
        <w:rPr>
          <w:rFonts w:ascii="Times New Roman" w:eastAsia="Times New Roman" w:hAnsi="Times New Roman" w:cs="Times New Roman"/>
          <w:sz w:val="24"/>
          <w:szCs w:val="24"/>
        </w:rPr>
        <w:t>travailleurs·euses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sociaux·ales</w:t>
      </w:r>
      <w:proofErr w:type="spellEnd"/>
      <w:r>
        <w:rPr>
          <w:rFonts w:ascii="Times New Roman" w:eastAsia="Times New Roman" w:hAnsi="Times New Roman" w:cs="Times New Roman"/>
          <w:sz w:val="24"/>
          <w:szCs w:val="24"/>
        </w:rPr>
        <w:t>.</w:t>
      </w:r>
    </w:p>
    <w:p w14:paraId="000000A2"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travaux d’Eliot Freidson et son concept d’autonomie professionnelle décrivent la médecine française comme une profession verticale au travers de son concept « d’autonomie professionnelle »</w:t>
      </w:r>
      <w:r>
        <w:rPr>
          <w:rFonts w:ascii="Times New Roman" w:eastAsia="Times New Roman" w:hAnsi="Times New Roman" w:cs="Times New Roman"/>
          <w:sz w:val="24"/>
          <w:szCs w:val="24"/>
          <w:vertAlign w:val="superscript"/>
        </w:rPr>
        <w:footnoteReference w:id="22"/>
      </w:r>
      <w:r>
        <w:rPr>
          <w:rFonts w:ascii="Times New Roman" w:eastAsia="Times New Roman" w:hAnsi="Times New Roman" w:cs="Times New Roman"/>
          <w:sz w:val="24"/>
          <w:szCs w:val="24"/>
        </w:rPr>
        <w:t xml:space="preserve">. La médecine serait une profession qui exerce sa propre loi, car l'autonomie vient du grec ancien « auto », signifiant « soi », et « </w:t>
      </w:r>
      <w:proofErr w:type="spellStart"/>
      <w:r>
        <w:rPr>
          <w:rFonts w:ascii="Times New Roman" w:eastAsia="Times New Roman" w:hAnsi="Times New Roman" w:cs="Times New Roman"/>
          <w:sz w:val="24"/>
          <w:szCs w:val="24"/>
        </w:rPr>
        <w:t>nomie</w:t>
      </w:r>
      <w:proofErr w:type="spellEnd"/>
      <w:r>
        <w:rPr>
          <w:rFonts w:ascii="Times New Roman" w:eastAsia="Times New Roman" w:hAnsi="Times New Roman" w:cs="Times New Roman"/>
          <w:sz w:val="24"/>
          <w:szCs w:val="24"/>
        </w:rPr>
        <w:t> » est tiré du grec « </w:t>
      </w:r>
      <w:proofErr w:type="spellStart"/>
      <w:r>
        <w:rPr>
          <w:rFonts w:ascii="Times New Roman" w:eastAsia="Times New Roman" w:hAnsi="Times New Roman" w:cs="Times New Roman"/>
          <w:sz w:val="24"/>
          <w:szCs w:val="24"/>
        </w:rPr>
        <w:t>nomos</w:t>
      </w:r>
      <w:proofErr w:type="spellEnd"/>
      <w:r>
        <w:rPr>
          <w:rFonts w:ascii="Times New Roman" w:eastAsia="Times New Roman" w:hAnsi="Times New Roman" w:cs="Times New Roman"/>
          <w:sz w:val="24"/>
          <w:szCs w:val="24"/>
        </w:rPr>
        <w:t xml:space="preserve"> » et signifie « loi », l’autonomie est donc la capacité de dicter et de suivre sa propre loi. Cette position particulière qui incombe à la profession est rendue possible par le monopole légitime des médecins sur le diagnostic et le traitement, qui peuvent donner lieu à un paternalisme médical. Cependant, des critiques contemporaines de ces pratiques ont pu émerger grâce à des </w:t>
      </w:r>
      <w:r>
        <w:rPr>
          <w:rFonts w:ascii="Times New Roman" w:eastAsia="Times New Roman" w:hAnsi="Times New Roman" w:cs="Times New Roman"/>
          <w:sz w:val="24"/>
          <w:szCs w:val="24"/>
        </w:rPr>
        <w:lastRenderedPageBreak/>
        <w:t xml:space="preserve">mouvements féministes afin de mettre en lumière des formes d’horizontalité dans la médecine. A titre d’exemple, la gynécologie a vu l’émergence de pratiques collaboratives avec les </w:t>
      </w:r>
      <w:proofErr w:type="spellStart"/>
      <w:r>
        <w:rPr>
          <w:rFonts w:ascii="Times New Roman" w:eastAsia="Times New Roman" w:hAnsi="Times New Roman" w:cs="Times New Roman"/>
          <w:sz w:val="24"/>
          <w:szCs w:val="24"/>
        </w:rPr>
        <w:t>sages-femmes</w:t>
      </w:r>
      <w:proofErr w:type="spellEnd"/>
      <w:r>
        <w:rPr>
          <w:rFonts w:ascii="Times New Roman" w:eastAsia="Times New Roman" w:hAnsi="Times New Roman" w:cs="Times New Roman"/>
          <w:sz w:val="24"/>
          <w:szCs w:val="24"/>
        </w:rPr>
        <w:t xml:space="preserve"> et la prise en compte accrue de la parole des patientes. Il est donc important de rappeler qu’il existe des manières plus horizontales d’aborder sa profession, quand bien même elle serait l’expression d’une expertise inégale. Cet exemple de redistribution du pouvoir professionnel est permis par une culture plus réflexive de son travail. De même, en psychiatrie, la diversité des orientations (biomédicale, psychodynamique, narrative) semble favoriser l’émergence d’une « sous-culture professionnelle » où le partage et la négociation des pratiques entre collègues sont essentiels, particulièrement dans les équipes hospitalières pluridisciplinaires</w:t>
      </w:r>
      <w:r>
        <w:rPr>
          <w:rFonts w:ascii="Times New Roman" w:eastAsia="Times New Roman" w:hAnsi="Times New Roman" w:cs="Times New Roman"/>
          <w:sz w:val="24"/>
          <w:szCs w:val="24"/>
          <w:vertAlign w:val="superscript"/>
        </w:rPr>
        <w:footnoteReference w:id="23"/>
      </w:r>
      <w:r>
        <w:rPr>
          <w:rFonts w:ascii="Times New Roman" w:eastAsia="Times New Roman" w:hAnsi="Times New Roman" w:cs="Times New Roman"/>
          <w:sz w:val="24"/>
          <w:szCs w:val="24"/>
        </w:rPr>
        <w:t xml:space="preserve">. La pluridisciplinarité semble donc être une condition à une pratique médicale plus horizontale, et d’autant plus lorsqu’elle se conjugue à une réelle écoute des besoins et envies des </w:t>
      </w:r>
      <w:proofErr w:type="spellStart"/>
      <w:r>
        <w:rPr>
          <w:rFonts w:ascii="Times New Roman" w:eastAsia="Times New Roman" w:hAnsi="Times New Roman" w:cs="Times New Roman"/>
          <w:sz w:val="24"/>
          <w:szCs w:val="24"/>
        </w:rPr>
        <w:t>patient·es</w:t>
      </w:r>
      <w:proofErr w:type="spellEnd"/>
      <w:r>
        <w:rPr>
          <w:rFonts w:ascii="Times New Roman" w:eastAsia="Times New Roman" w:hAnsi="Times New Roman" w:cs="Times New Roman"/>
          <w:sz w:val="24"/>
          <w:szCs w:val="24"/>
        </w:rPr>
        <w:t xml:space="preserve">. Ces conditions semblent elles-mêmes rendues possibles par une gestion collective des connaissances et permises par une organisation institutionnelle qui favorise la réflexion critique et la co-construction des normes professionnelles. </w:t>
      </w:r>
    </w:p>
    <w:p w14:paraId="000000A3"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profession de gynécologue peut également horizontaliser sa pratique au travers de l’appropriation des approches psychologiques, comme dans le domaine de la gynécologie psychosomatique. Cette discipline gynécologique consiste selon Michèle </w:t>
      </w:r>
      <w:proofErr w:type="spellStart"/>
      <w:r>
        <w:rPr>
          <w:rFonts w:ascii="Times New Roman" w:eastAsia="Times New Roman" w:hAnsi="Times New Roman" w:cs="Times New Roman"/>
          <w:sz w:val="24"/>
          <w:szCs w:val="24"/>
        </w:rPr>
        <w:t>Lachowski</w:t>
      </w:r>
      <w:proofErr w:type="spellEnd"/>
      <w:r>
        <w:rPr>
          <w:rFonts w:ascii="Times New Roman" w:eastAsia="Times New Roman" w:hAnsi="Times New Roman" w:cs="Times New Roman"/>
          <w:sz w:val="24"/>
          <w:szCs w:val="24"/>
        </w:rPr>
        <w:t xml:space="preserve"> à considérer que « L’entrelacs psyché (l’esprit) et soma (le corps) est la clé de voûte de la médecine comme de la fonction de soignant. »</w:t>
      </w:r>
      <w:r>
        <w:rPr>
          <w:rFonts w:ascii="Times New Roman" w:eastAsia="Times New Roman" w:hAnsi="Times New Roman" w:cs="Times New Roman"/>
          <w:sz w:val="24"/>
          <w:szCs w:val="24"/>
          <w:vertAlign w:val="superscript"/>
        </w:rPr>
        <w:footnoteReference w:id="24"/>
      </w:r>
      <w:r>
        <w:rPr>
          <w:rFonts w:ascii="Times New Roman" w:eastAsia="Times New Roman" w:hAnsi="Times New Roman" w:cs="Times New Roman"/>
          <w:sz w:val="24"/>
          <w:szCs w:val="24"/>
        </w:rPr>
        <w:t xml:space="preserve"> Il ne s’agit ici pas de plaquer une légère couche de « psy » plus ou moins socialement correcte sur le soma pour « faire » de ou plutôt « dans » la psychosomatique, un peu comme on « fait dans l’import-export</w:t>
      </w:r>
      <w:proofErr w:type="gramStart"/>
      <w:r>
        <w:rPr>
          <w:rFonts w:ascii="Times New Roman" w:eastAsia="Times New Roman" w:hAnsi="Times New Roman" w:cs="Times New Roman"/>
          <w:sz w:val="24"/>
          <w:szCs w:val="24"/>
        </w:rPr>
        <w:t xml:space="preserve"> »“</w:t>
      </w:r>
      <w:proofErr w:type="gramEnd"/>
      <w:r>
        <w:rPr>
          <w:rFonts w:ascii="Times New Roman" w:eastAsia="Times New Roman" w:hAnsi="Times New Roman" w:cs="Times New Roman"/>
          <w:sz w:val="24"/>
          <w:szCs w:val="24"/>
          <w:vertAlign w:val="superscript"/>
        </w:rPr>
        <w:footnoteReference w:id="25"/>
      </w:r>
      <w:r>
        <w:rPr>
          <w:rFonts w:ascii="Times New Roman" w:eastAsia="Times New Roman" w:hAnsi="Times New Roman" w:cs="Times New Roman"/>
          <w:sz w:val="24"/>
          <w:szCs w:val="24"/>
        </w:rPr>
        <w:t xml:space="preserve"> mais bel et bien d’octroyer la place, à la patiente, de dépasser le script enseigné du diagnostic en plaçant sa subjectivité au cœur du soin. La gynécologie psychosomatique considère en effet que les manifestations corporelles sont indissociables des expériences émotionnelles et relationnelles. Les symptômes physiques ne sont alors pas interprétés uniquement sous l’angle de dysfonctionnements biologiques, mais également comme des expressions d’un vécu psychique qu’il peut être difficile pour la patiente de verbaliser. Le soin repose donc sur la prise en compte du corps comme lieu d’inscription de l’expérience subjective, et non comme simple support biologique.</w:t>
      </w:r>
    </w:p>
    <w:p w14:paraId="000000A4"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Ainsi, bien que la culture médicale semble être le terrain préférentiel d’un exercice vertical des fonctions de par la spécialisation qu’elle requiert et la légitimité que celle-ci lui confère,  en adoptant une pratique réflexive de la médecine, c’est-à-dire en s’interrogeant sur ce que c’est de soigner, sur son rôle de répondre aux besoins des </w:t>
      </w:r>
      <w:proofErr w:type="spellStart"/>
      <w:r>
        <w:rPr>
          <w:rFonts w:ascii="Times New Roman" w:eastAsia="Times New Roman" w:hAnsi="Times New Roman" w:cs="Times New Roman"/>
          <w:sz w:val="24"/>
          <w:szCs w:val="24"/>
        </w:rPr>
        <w:t>patient·es</w:t>
      </w:r>
      <w:proofErr w:type="spellEnd"/>
      <w:r>
        <w:rPr>
          <w:rFonts w:ascii="Times New Roman" w:eastAsia="Times New Roman" w:hAnsi="Times New Roman" w:cs="Times New Roman"/>
          <w:sz w:val="24"/>
          <w:szCs w:val="24"/>
        </w:rPr>
        <w:t xml:space="preserve"> en tant que médecin et non pas de chercher à atteindre un stade de guérison ou de fonctionnement enseigné avant la rencontre avec les </w:t>
      </w:r>
      <w:proofErr w:type="spellStart"/>
      <w:r>
        <w:rPr>
          <w:rFonts w:ascii="Times New Roman" w:eastAsia="Times New Roman" w:hAnsi="Times New Roman" w:cs="Times New Roman"/>
          <w:sz w:val="24"/>
          <w:szCs w:val="24"/>
        </w:rPr>
        <w:t>patient·es</w:t>
      </w:r>
      <w:proofErr w:type="spellEnd"/>
      <w:r>
        <w:rPr>
          <w:rFonts w:ascii="Times New Roman" w:eastAsia="Times New Roman" w:hAnsi="Times New Roman" w:cs="Times New Roman"/>
          <w:sz w:val="24"/>
          <w:szCs w:val="24"/>
        </w:rPr>
        <w:t>. Alors, il devient possible de remplacer les « bonnes pratiques » acquises au travers du parcours universitaire ou hospitalier par un esprit d’innovation collaborative.</w:t>
      </w:r>
    </w:p>
    <w:p w14:paraId="000000A5"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Par ailleurs, la culture commune des juristes découle elle aussi d’une spécialisation dans un domaine scientifique, mais sa spécificité tient peut-être dans l’objet de cette science, le droit, qui est une science « sociale ». L’expertise technique de la profession est donc en lien direct avec la société, mais comme dans toute profession, une asymétrie demeure entre l’initié et le profane. Pierre Bourdieu souligne ainsi que le champ juridique repose sur une maîtrise spécifique du langage du droit, qui confère aux juristes un pouvoir symbolique important dans </w:t>
      </w:r>
      <w:r>
        <w:rPr>
          <w:rFonts w:ascii="Times New Roman" w:eastAsia="Times New Roman" w:hAnsi="Times New Roman" w:cs="Times New Roman"/>
          <w:sz w:val="24"/>
          <w:szCs w:val="24"/>
        </w:rPr>
        <w:lastRenderedPageBreak/>
        <w:t>l’interprétation et la production de la norme</w:t>
      </w:r>
      <w:r>
        <w:rPr>
          <w:rFonts w:ascii="Times New Roman" w:eastAsia="Times New Roman" w:hAnsi="Times New Roman" w:cs="Times New Roman"/>
          <w:sz w:val="24"/>
          <w:szCs w:val="24"/>
          <w:vertAlign w:val="superscript"/>
        </w:rPr>
        <w:footnoteReference w:id="26"/>
      </w:r>
      <w:r>
        <w:rPr>
          <w:rFonts w:ascii="Times New Roman" w:eastAsia="Times New Roman" w:hAnsi="Times New Roman" w:cs="Times New Roman"/>
          <w:sz w:val="24"/>
          <w:szCs w:val="24"/>
        </w:rPr>
        <w:t>. La culture professionnelle des juristes semble donc admettre elle aussi une verticalité tirée de la compétence que cette profession requiert. Cependant, des travaux récents en sociologie du droit montrent que la représentation juridique des femmes victimes de violences repose souvent sur une relation collaborative entre l’</w:t>
      </w:r>
      <w:proofErr w:type="spellStart"/>
      <w:r>
        <w:rPr>
          <w:rFonts w:ascii="Times New Roman" w:eastAsia="Times New Roman" w:hAnsi="Times New Roman" w:cs="Times New Roman"/>
          <w:sz w:val="24"/>
          <w:szCs w:val="24"/>
        </w:rPr>
        <w:t>avocat·e</w:t>
      </w:r>
      <w:proofErr w:type="spellEnd"/>
      <w:r>
        <w:rPr>
          <w:rFonts w:ascii="Times New Roman" w:eastAsia="Times New Roman" w:hAnsi="Times New Roman" w:cs="Times New Roman"/>
          <w:sz w:val="24"/>
          <w:szCs w:val="24"/>
        </w:rPr>
        <w:t xml:space="preserve"> et la cliente. Dans les services juridiques spécialisés, la stratégie juridique est fréquemment </w:t>
      </w:r>
      <w:proofErr w:type="spellStart"/>
      <w:r>
        <w:rPr>
          <w:rFonts w:ascii="Times New Roman" w:eastAsia="Times New Roman" w:hAnsi="Times New Roman" w:cs="Times New Roman"/>
          <w:sz w:val="24"/>
          <w:szCs w:val="24"/>
        </w:rPr>
        <w:t>co-construite</w:t>
      </w:r>
      <w:proofErr w:type="spellEnd"/>
      <w:r>
        <w:rPr>
          <w:rFonts w:ascii="Times New Roman" w:eastAsia="Times New Roman" w:hAnsi="Times New Roman" w:cs="Times New Roman"/>
          <w:sz w:val="24"/>
          <w:szCs w:val="24"/>
        </w:rPr>
        <w:t xml:space="preserve"> avec la victime, l’</w:t>
      </w:r>
      <w:proofErr w:type="spellStart"/>
      <w:r>
        <w:rPr>
          <w:rFonts w:ascii="Times New Roman" w:eastAsia="Times New Roman" w:hAnsi="Times New Roman" w:cs="Times New Roman"/>
          <w:sz w:val="24"/>
          <w:szCs w:val="24"/>
        </w:rPr>
        <w:t>avocat·e</w:t>
      </w:r>
      <w:proofErr w:type="spellEnd"/>
      <w:r>
        <w:rPr>
          <w:rFonts w:ascii="Times New Roman" w:eastAsia="Times New Roman" w:hAnsi="Times New Roman" w:cs="Times New Roman"/>
          <w:sz w:val="24"/>
          <w:szCs w:val="24"/>
        </w:rPr>
        <w:t xml:space="preserve"> cherchant à reconnaître son expérience et à renforcer son autonomie dans la procédure</w:t>
      </w:r>
      <w:r>
        <w:rPr>
          <w:rFonts w:ascii="Times New Roman" w:eastAsia="Times New Roman" w:hAnsi="Times New Roman" w:cs="Times New Roman"/>
          <w:sz w:val="24"/>
          <w:szCs w:val="24"/>
          <w:vertAlign w:val="superscript"/>
        </w:rPr>
        <w:footnoteReference w:id="27"/>
      </w:r>
      <w:r>
        <w:rPr>
          <w:rFonts w:ascii="Times New Roman" w:eastAsia="Times New Roman" w:hAnsi="Times New Roman" w:cs="Times New Roman"/>
          <w:sz w:val="24"/>
          <w:szCs w:val="24"/>
        </w:rPr>
        <w:t xml:space="preserve">. Cette approche transforme la relation </w:t>
      </w:r>
      <w:proofErr w:type="spellStart"/>
      <w:r>
        <w:rPr>
          <w:rFonts w:ascii="Times New Roman" w:eastAsia="Times New Roman" w:hAnsi="Times New Roman" w:cs="Times New Roman"/>
          <w:sz w:val="24"/>
          <w:szCs w:val="24"/>
        </w:rPr>
        <w:t>avocat·e-client·e</w:t>
      </w:r>
      <w:proofErr w:type="spellEnd"/>
      <w:r>
        <w:rPr>
          <w:rFonts w:ascii="Times New Roman" w:eastAsia="Times New Roman" w:hAnsi="Times New Roman" w:cs="Times New Roman"/>
          <w:sz w:val="24"/>
          <w:szCs w:val="24"/>
        </w:rPr>
        <w:t xml:space="preserve"> en un espace de coopération plutôt que de simple délégation d’expertise. Ainsi, la culture commune des juristes oscille entre une tradition d’autorité normative et une pratique du droit qui privilégie le dialogue et dans laquelle l’horizontalité se développe. Tout comme pour les professions médicales, les situations juridiques exigeant une expertise pluraliste sont un terreau fertile à plus d’horizontalité et donc à l’hospitalité.</w:t>
      </w:r>
    </w:p>
    <w:p w14:paraId="000000A6"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les professions de l’intervention sociale, au sein desquelles sont incluses les </w:t>
      </w:r>
      <w:proofErr w:type="spellStart"/>
      <w:r>
        <w:rPr>
          <w:rFonts w:ascii="Times New Roman" w:eastAsia="Times New Roman" w:hAnsi="Times New Roman" w:cs="Times New Roman"/>
          <w:sz w:val="24"/>
          <w:szCs w:val="24"/>
        </w:rPr>
        <w:t>travailleurs·euses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sociaux·ales</w:t>
      </w:r>
      <w:proofErr w:type="spellEnd"/>
      <w:r>
        <w:rPr>
          <w:rFonts w:ascii="Times New Roman" w:eastAsia="Times New Roman" w:hAnsi="Times New Roman" w:cs="Times New Roman"/>
          <w:sz w:val="24"/>
          <w:szCs w:val="24"/>
        </w:rPr>
        <w:t xml:space="preserve"> et psychologues, reposent sur un ensemble de bonnes pratiques visant à l’aide et à l’autonomie des personnes accompagnées d’une part, et la coopération interprofessionnelle dans </w:t>
      </w:r>
      <w:proofErr w:type="gramStart"/>
      <w:r>
        <w:rPr>
          <w:rFonts w:ascii="Times New Roman" w:eastAsia="Times New Roman" w:hAnsi="Times New Roman" w:cs="Times New Roman"/>
          <w:sz w:val="24"/>
          <w:szCs w:val="24"/>
        </w:rPr>
        <w:t>les  études</w:t>
      </w:r>
      <w:proofErr w:type="gramEnd"/>
      <w:r>
        <w:rPr>
          <w:rFonts w:ascii="Times New Roman" w:eastAsia="Times New Roman" w:hAnsi="Times New Roman" w:cs="Times New Roman"/>
          <w:sz w:val="24"/>
          <w:szCs w:val="24"/>
        </w:rPr>
        <w:t xml:space="preserve"> plus récentes. Le blog de Didier </w:t>
      </w:r>
      <w:proofErr w:type="spellStart"/>
      <w:r>
        <w:rPr>
          <w:rFonts w:ascii="Times New Roman" w:eastAsia="Times New Roman" w:hAnsi="Times New Roman" w:cs="Times New Roman"/>
          <w:sz w:val="24"/>
          <w:szCs w:val="24"/>
        </w:rPr>
        <w:t>Dubasque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Écrire pour et sur le travail social</w:t>
      </w:r>
      <w:r>
        <w:rPr>
          <w:rFonts w:ascii="Times New Roman" w:eastAsia="Times New Roman" w:hAnsi="Times New Roman" w:cs="Times New Roman"/>
          <w:sz w:val="24"/>
          <w:szCs w:val="24"/>
        </w:rPr>
        <w:t xml:space="preserve"> recense de nombreux entretiens avec des </w:t>
      </w:r>
      <w:proofErr w:type="spellStart"/>
      <w:r>
        <w:rPr>
          <w:rFonts w:ascii="Times New Roman" w:eastAsia="Times New Roman" w:hAnsi="Times New Roman" w:cs="Times New Roman"/>
          <w:sz w:val="24"/>
          <w:szCs w:val="24"/>
        </w:rPr>
        <w:t>travailleurs·euses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sociaux·ales</w:t>
      </w:r>
      <w:proofErr w:type="spellEnd"/>
      <w:r>
        <w:rPr>
          <w:rFonts w:ascii="Times New Roman" w:eastAsia="Times New Roman" w:hAnsi="Times New Roman" w:cs="Times New Roman"/>
          <w:sz w:val="24"/>
          <w:szCs w:val="24"/>
        </w:rPr>
        <w:t xml:space="preserve"> et sociologues, ainsi que des articles commentant l’actualité sociétale et relative au travail social. Dans son article « L’identité professionnelle des travailleurs sociaux », 2018, </w:t>
      </w:r>
      <w:proofErr w:type="spellStart"/>
      <w:r>
        <w:rPr>
          <w:rFonts w:ascii="Times New Roman" w:eastAsia="Times New Roman" w:hAnsi="Times New Roman" w:cs="Times New Roman"/>
          <w:sz w:val="24"/>
          <w:szCs w:val="24"/>
        </w:rPr>
        <w:t>Dubasque</w:t>
      </w:r>
      <w:proofErr w:type="spellEnd"/>
      <w:r>
        <w:rPr>
          <w:rFonts w:ascii="Times New Roman" w:eastAsia="Times New Roman" w:hAnsi="Times New Roman" w:cs="Times New Roman"/>
          <w:sz w:val="24"/>
          <w:szCs w:val="24"/>
        </w:rPr>
        <w:t xml:space="preserve"> met en évidence le fait que les bonnes pratiques de ces professions reposent avant tout sur une construction progressive de l’identité professionnelle, assemblée au travers de la formation et de l’expérience de terrain, ainsi que des échanges entre </w:t>
      </w:r>
      <w:proofErr w:type="spellStart"/>
      <w:r>
        <w:rPr>
          <w:rFonts w:ascii="Times New Roman" w:eastAsia="Times New Roman" w:hAnsi="Times New Roman" w:cs="Times New Roman"/>
          <w:sz w:val="24"/>
          <w:szCs w:val="24"/>
        </w:rPr>
        <w:t>pair·es</w:t>
      </w:r>
      <w:proofErr w:type="spellEnd"/>
      <w:r>
        <w:rPr>
          <w:rFonts w:ascii="Times New Roman" w:eastAsia="Times New Roman" w:hAnsi="Times New Roman" w:cs="Times New Roman"/>
          <w:sz w:val="24"/>
          <w:szCs w:val="24"/>
          <w:vertAlign w:val="superscript"/>
        </w:rPr>
        <w:footnoteReference w:id="28"/>
      </w:r>
      <w:r>
        <w:rPr>
          <w:rFonts w:ascii="Times New Roman" w:eastAsia="Times New Roman" w:hAnsi="Times New Roman" w:cs="Times New Roman"/>
          <w:sz w:val="24"/>
          <w:szCs w:val="24"/>
        </w:rPr>
        <w:t xml:space="preserve">. Par ailleurs, </w:t>
      </w:r>
      <w:proofErr w:type="spellStart"/>
      <w:r>
        <w:rPr>
          <w:rFonts w:ascii="Times New Roman" w:eastAsia="Times New Roman" w:hAnsi="Times New Roman" w:cs="Times New Roman"/>
          <w:sz w:val="24"/>
          <w:szCs w:val="24"/>
        </w:rPr>
        <w:t>Dubasque</w:t>
      </w:r>
      <w:proofErr w:type="spellEnd"/>
      <w:r>
        <w:rPr>
          <w:rFonts w:ascii="Times New Roman" w:eastAsia="Times New Roman" w:hAnsi="Times New Roman" w:cs="Times New Roman"/>
          <w:sz w:val="24"/>
          <w:szCs w:val="24"/>
        </w:rPr>
        <w:t xml:space="preserve"> montre que certaines valeurs partagées se font également le ciment de l’accompagnement des personnes. Il cite notamment le respect de la dignité, la promotion de l’autonomie, la lutte contre les discriminations et la confidentialité des informations recueillies dans le cadre de l’accompagnement. Il est cependant important de rappeler que l’intervention sociale ne se déploie pas dans un espace indépendant mais s’inscrit dans des institutions et des politiques publiques qui imposent des cadres administratifs et gestionnaires. Les </w:t>
      </w:r>
      <w:proofErr w:type="spellStart"/>
      <w:r>
        <w:rPr>
          <w:rFonts w:ascii="Times New Roman" w:eastAsia="Times New Roman" w:hAnsi="Times New Roman" w:cs="Times New Roman"/>
          <w:sz w:val="24"/>
          <w:szCs w:val="24"/>
        </w:rPr>
        <w:t>professionnel·</w:t>
      </w:r>
      <w:proofErr w:type="gramStart"/>
      <w:r>
        <w:rPr>
          <w:rFonts w:ascii="Times New Roman" w:eastAsia="Times New Roman" w:hAnsi="Times New Roman" w:cs="Times New Roman"/>
          <w:sz w:val="24"/>
          <w:szCs w:val="24"/>
        </w:rPr>
        <w:t>les</w:t>
      </w:r>
      <w:proofErr w:type="spellEnd"/>
      <w:r>
        <w:rPr>
          <w:rFonts w:ascii="Times New Roman" w:eastAsia="Times New Roman" w:hAnsi="Times New Roman" w:cs="Times New Roman"/>
          <w:sz w:val="24"/>
          <w:szCs w:val="24"/>
        </w:rPr>
        <w:t xml:space="preserve"> se</w:t>
      </w:r>
      <w:proofErr w:type="gramEnd"/>
      <w:r>
        <w:rPr>
          <w:rFonts w:ascii="Times New Roman" w:eastAsia="Times New Roman" w:hAnsi="Times New Roman" w:cs="Times New Roman"/>
          <w:sz w:val="24"/>
          <w:szCs w:val="24"/>
        </w:rPr>
        <w:t xml:space="preserve"> heurtent donc à un arbitrage entre leurs valeurs d’accompagnement et les contraintes organisationnelles. Dans cette perspective, </w:t>
      </w:r>
      <w:proofErr w:type="spellStart"/>
      <w:r>
        <w:rPr>
          <w:rFonts w:ascii="Times New Roman" w:eastAsia="Times New Roman" w:hAnsi="Times New Roman" w:cs="Times New Roman"/>
          <w:sz w:val="24"/>
          <w:szCs w:val="24"/>
        </w:rPr>
        <w:t>Dubasque</w:t>
      </w:r>
      <w:proofErr w:type="spellEnd"/>
      <w:r>
        <w:rPr>
          <w:rFonts w:ascii="Times New Roman" w:eastAsia="Times New Roman" w:hAnsi="Times New Roman" w:cs="Times New Roman"/>
          <w:sz w:val="24"/>
          <w:szCs w:val="24"/>
        </w:rPr>
        <w:t xml:space="preserve"> souligne également l’importance du travail collectif et des espaces d’échanges entre </w:t>
      </w:r>
      <w:proofErr w:type="spellStart"/>
      <w:r>
        <w:rPr>
          <w:rFonts w:ascii="Times New Roman" w:eastAsia="Times New Roman" w:hAnsi="Times New Roman" w:cs="Times New Roman"/>
          <w:sz w:val="24"/>
          <w:szCs w:val="24"/>
        </w:rPr>
        <w:t>professionnel·les</w:t>
      </w:r>
      <w:proofErr w:type="spellEnd"/>
      <w:r>
        <w:rPr>
          <w:rFonts w:ascii="Times New Roman" w:eastAsia="Times New Roman" w:hAnsi="Times New Roman" w:cs="Times New Roman"/>
          <w:sz w:val="24"/>
          <w:szCs w:val="24"/>
        </w:rPr>
        <w:t xml:space="preserve"> qui contribuent à élaborer des normes de pratique partagées et à renforcer la cohérence de l’intervention sociale. La qualité des pratiques dans le travail social repose donc sur des compétences relationnelles, des valeurs partagées et une capacité à coopérer au sein de collectifs professionnels tout en naviguant avec les contraintes institutionnelles. </w:t>
      </w:r>
    </w:p>
    <w:p w14:paraId="000000A7"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profession de psychologue rejoint le travail social lorsqu’il s’agit de certaines bonnes pratiques. Les deux professions de l’intervention sociale requièrent une importance de l’écoute de la personne dans le processus d’aide et visent à l’autonomiser, voire à l’émanciper. En psychologie, l’approche mettant l’action sur l’empathie et la reconnaissance de l’expérience est développée par Carl Rogers et s’inscrit dans la tradition de la psychologie humaniste qu’il a fondée. Rogers met en avant la nécessité de la co-construction du processus thérapeutique </w:t>
      </w:r>
      <w:r>
        <w:rPr>
          <w:rFonts w:ascii="Times New Roman" w:eastAsia="Times New Roman" w:hAnsi="Times New Roman" w:cs="Times New Roman"/>
          <w:sz w:val="24"/>
          <w:szCs w:val="24"/>
        </w:rPr>
        <w:lastRenderedPageBreak/>
        <w:t>avec la personne accompagnée</w:t>
      </w:r>
      <w:r>
        <w:rPr>
          <w:rFonts w:ascii="Times New Roman" w:eastAsia="Times New Roman" w:hAnsi="Times New Roman" w:cs="Times New Roman"/>
          <w:sz w:val="24"/>
          <w:szCs w:val="24"/>
          <w:vertAlign w:val="superscript"/>
        </w:rPr>
        <w:footnoteReference w:id="29"/>
      </w:r>
      <w:r>
        <w:rPr>
          <w:rFonts w:ascii="Times New Roman" w:eastAsia="Times New Roman" w:hAnsi="Times New Roman" w:cs="Times New Roman"/>
          <w:sz w:val="24"/>
          <w:szCs w:val="24"/>
        </w:rPr>
        <w:t xml:space="preserve"> . Comme pour les </w:t>
      </w:r>
      <w:proofErr w:type="spellStart"/>
      <w:r>
        <w:rPr>
          <w:rFonts w:ascii="Times New Roman" w:eastAsia="Times New Roman" w:hAnsi="Times New Roman" w:cs="Times New Roman"/>
          <w:sz w:val="24"/>
          <w:szCs w:val="24"/>
        </w:rPr>
        <w:t>travailleurs·euses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sociaux·ales</w:t>
      </w:r>
      <w:proofErr w:type="spellEnd"/>
      <w:r>
        <w:rPr>
          <w:rFonts w:ascii="Times New Roman" w:eastAsia="Times New Roman" w:hAnsi="Times New Roman" w:cs="Times New Roman"/>
          <w:sz w:val="24"/>
          <w:szCs w:val="24"/>
        </w:rPr>
        <w:t>, les analyses contemporaines soulignent que les bonnes pratiques des professions d’intervention sociale reposent de plus en plus sur la coopération entre disciplines et institutions, afin de répondre à la complexité des situations sociales</w:t>
      </w:r>
      <w:r>
        <w:rPr>
          <w:rFonts w:ascii="Times New Roman" w:eastAsia="Times New Roman" w:hAnsi="Times New Roman" w:cs="Times New Roman"/>
          <w:sz w:val="24"/>
          <w:szCs w:val="24"/>
          <w:vertAlign w:val="superscript"/>
        </w:rPr>
        <w:footnoteReference w:id="30"/>
      </w:r>
      <w:r>
        <w:rPr>
          <w:rFonts w:ascii="Times New Roman" w:eastAsia="Times New Roman" w:hAnsi="Times New Roman" w:cs="Times New Roman"/>
          <w:sz w:val="24"/>
          <w:szCs w:val="24"/>
        </w:rPr>
        <w:t xml:space="preserve">. Dans ce cadre, la qualité de l’intervention dépend non seulement des compétences individuelles des </w:t>
      </w:r>
      <w:proofErr w:type="spellStart"/>
      <w:r>
        <w:rPr>
          <w:rFonts w:ascii="Times New Roman" w:eastAsia="Times New Roman" w:hAnsi="Times New Roman" w:cs="Times New Roman"/>
          <w:sz w:val="24"/>
          <w:szCs w:val="24"/>
        </w:rPr>
        <w:t>professionnel·les</w:t>
      </w:r>
      <w:proofErr w:type="spellEnd"/>
      <w:r>
        <w:rPr>
          <w:rFonts w:ascii="Times New Roman" w:eastAsia="Times New Roman" w:hAnsi="Times New Roman" w:cs="Times New Roman"/>
          <w:sz w:val="24"/>
          <w:szCs w:val="24"/>
        </w:rPr>
        <w:t>, mais aussi de leur capacité à travailler collectivement et à articuler différentes formes d’expertise au service des personnes accompagnées.</w:t>
      </w:r>
    </w:p>
    <w:p w14:paraId="000000A8"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L’articulation de ces cultures communes au sein de la Maison des Femmes soulève des points épistémologiques, tant la collaboration des différentes professions est bénéfique pour les personnes accompagnées alors que chacune de ces professions a des délimitations et des approches distinctes. Il semblerait qu’un dépassement des sciences sur lesquelles les savoirs reposent soit nécessaire au soin des patientes. Ainsi, alors que les médecins s’appuient sur une tradition fondée sur le concept rationalité clinique et scientifique, les juristes sur l’interprétation normative du droit, tandis que les travailleuses sociales et psychologues privilégient des approches relationnelles et compréhensives centrées sur l’accompagnement des personnes, leur coopération ne suppose pas seulement de faire dialoguer des formes de connaissances et des cultures professionnelles parfois hétérogènes. Il semble plutôt que les professionnelles doivent s’extirper de </w:t>
      </w:r>
      <w:proofErr w:type="gramStart"/>
      <w:r>
        <w:rPr>
          <w:rFonts w:ascii="Times New Roman" w:eastAsia="Times New Roman" w:hAnsi="Times New Roman" w:cs="Times New Roman"/>
          <w:sz w:val="24"/>
          <w:szCs w:val="24"/>
        </w:rPr>
        <w:t>leur professions respectives</w:t>
      </w:r>
      <w:proofErr w:type="gramEnd"/>
      <w:r>
        <w:rPr>
          <w:rFonts w:ascii="Times New Roman" w:eastAsia="Times New Roman" w:hAnsi="Times New Roman" w:cs="Times New Roman"/>
          <w:sz w:val="24"/>
          <w:szCs w:val="24"/>
        </w:rPr>
        <w:t xml:space="preserve"> au travers d’un processus d’acculturation des professions visant à aider les bénéficiaires, afin de s’adapter aux besoins de chaque femme prise en charge. Il s’agit donc de repousser les limites de la science enseignée afin d’acquérir de nouveaux outils de compréhension, d’accompagnement, et de soin, </w:t>
      </w:r>
      <w:proofErr w:type="gramStart"/>
      <w:r>
        <w:rPr>
          <w:rFonts w:ascii="Times New Roman" w:eastAsia="Times New Roman" w:hAnsi="Times New Roman" w:cs="Times New Roman"/>
          <w:sz w:val="24"/>
          <w:szCs w:val="24"/>
        </w:rPr>
        <w:t>comme par exemple</w:t>
      </w:r>
      <w:proofErr w:type="gramEnd"/>
      <w:r>
        <w:rPr>
          <w:rFonts w:ascii="Times New Roman" w:eastAsia="Times New Roman" w:hAnsi="Times New Roman" w:cs="Times New Roman"/>
          <w:sz w:val="24"/>
          <w:szCs w:val="24"/>
        </w:rPr>
        <w:t xml:space="preserve"> avec la naissance de la gynécologie psychosomatique. L’enjeu ne réside donc pas seulement dans la coordination des interventions, mais aussi dans la construction d’un espace de coopération interprofessionnelle capable d’articuler ces différentes cultures du soin, du droit et de l’accompagnement au service des femmes accueillies.</w:t>
      </w:r>
    </w:p>
    <w:p w14:paraId="000000A9" w14:textId="77777777" w:rsidR="004E766C" w:rsidRDefault="004E766C">
      <w:pPr>
        <w:spacing w:before="240" w:after="240" w:line="240" w:lineRule="auto"/>
        <w:jc w:val="both"/>
        <w:rPr>
          <w:rFonts w:ascii="Times New Roman" w:eastAsia="Times New Roman" w:hAnsi="Times New Roman" w:cs="Times New Roman"/>
          <w:sz w:val="24"/>
          <w:szCs w:val="24"/>
        </w:rPr>
      </w:pPr>
    </w:p>
    <w:p w14:paraId="000000AA" w14:textId="77777777" w:rsidR="004E766C" w:rsidRDefault="00000000">
      <w:pPr>
        <w:pStyle w:val="Titre2"/>
        <w:numPr>
          <w:ilvl w:val="0"/>
          <w:numId w:val="54"/>
        </w:numPr>
        <w:rPr>
          <w:color w:val="000000"/>
        </w:rPr>
      </w:pPr>
      <w:bookmarkStart w:id="43" w:name="_heading=h.1sy6826kc2q" w:colFirst="0" w:colLast="0"/>
      <w:bookmarkEnd w:id="43"/>
      <w:r>
        <w:rPr>
          <w:color w:val="000000"/>
        </w:rPr>
        <w:t>De l'asymétrie éthique à la vulnérabilité située : pour une hospitalité intersectionnelle</w:t>
      </w:r>
    </w:p>
    <w:p w14:paraId="000000AB" w14:textId="77777777" w:rsidR="004E766C" w:rsidRDefault="004E766C">
      <w:pPr>
        <w:ind w:left="720"/>
      </w:pPr>
    </w:p>
    <w:p w14:paraId="000000AC" w14:textId="77777777" w:rsidR="004E766C" w:rsidRDefault="00000000">
      <w:pPr>
        <w:pStyle w:val="Titre3"/>
        <w:numPr>
          <w:ilvl w:val="0"/>
          <w:numId w:val="15"/>
        </w:numPr>
        <w:shd w:val="clear" w:color="auto" w:fill="FFFFFF"/>
        <w:spacing w:before="240" w:after="240"/>
      </w:pPr>
      <w:bookmarkStart w:id="44" w:name="_heading=h.uvbuqfrs1136" w:colFirst="0" w:colLast="0"/>
      <w:bookmarkEnd w:id="44"/>
      <w:r>
        <w:t xml:space="preserve">L’éthique </w:t>
      </w:r>
      <w:proofErr w:type="gramStart"/>
      <w:r>
        <w:t>de la responsabilité confronté</w:t>
      </w:r>
      <w:proofErr w:type="gramEnd"/>
      <w:r>
        <w:t xml:space="preserve"> à l’incarnation </w:t>
      </w:r>
      <w:proofErr w:type="gramStart"/>
      <w:r>
        <w:t>du care</w:t>
      </w:r>
      <w:proofErr w:type="gramEnd"/>
    </w:p>
    <w:p w14:paraId="000000AD" w14:textId="77777777" w:rsidR="004E766C" w:rsidRDefault="00000000">
      <w:pPr>
        <w:shd w:val="clear" w:color="auto" w:fill="FFFFFF"/>
        <w:spacing w:before="240" w:after="240"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apparaît nécessaire de poser un horizon d’attente de ce que serait l’accompagnement idéal des bénéficiaires, pour cela, nous nous aiderons d’un philosophe dont l’éthique est parmi les plus exigeantes dans son accompagnement de l’Autre, Emmanuel </w:t>
      </w:r>
      <w:proofErr w:type="spellStart"/>
      <w:r>
        <w:rPr>
          <w:rFonts w:ascii="Times New Roman" w:eastAsia="Times New Roman" w:hAnsi="Times New Roman" w:cs="Times New Roman"/>
          <w:sz w:val="24"/>
          <w:szCs w:val="24"/>
        </w:rPr>
        <w:t>Lévinas</w:t>
      </w:r>
      <w:proofErr w:type="spellEnd"/>
      <w:r>
        <w:rPr>
          <w:rFonts w:ascii="Times New Roman" w:eastAsia="Times New Roman" w:hAnsi="Times New Roman" w:cs="Times New Roman"/>
          <w:sz w:val="24"/>
          <w:szCs w:val="24"/>
        </w:rPr>
        <w:t>. Cet auteur ne considère pas l’éthique comme un sentiment de bienveillance que l'on choisit de concrétiser en actes, mais comme une crise du sujet. Avant de rencontrer l'autre, je vis dans l'égoïsme naturel de la jouissance : je mange, je possède, je suis le centre de mon monde</w:t>
      </w:r>
      <w:r>
        <w:rPr>
          <w:rFonts w:ascii="Times New Roman" w:eastAsia="Times New Roman" w:hAnsi="Times New Roman" w:cs="Times New Roman"/>
          <w:sz w:val="24"/>
          <w:szCs w:val="24"/>
          <w:vertAlign w:val="superscript"/>
        </w:rPr>
        <w:footnoteReference w:id="31"/>
      </w:r>
      <w:r>
        <w:rPr>
          <w:rFonts w:ascii="Times New Roman" w:eastAsia="Times New Roman" w:hAnsi="Times New Roman" w:cs="Times New Roman"/>
          <w:sz w:val="24"/>
          <w:szCs w:val="24"/>
        </w:rPr>
        <w:t>. La rencontre avec le Visage d'autrui interfère avec ce confort, le brise comme un traumatisme. Ce n'est pas une image que je regarde, mais une force qui me</w:t>
      </w:r>
      <w:proofErr w:type="gramStart"/>
      <w:r>
        <w:rPr>
          <w:rFonts w:ascii="Times New Roman" w:eastAsia="Times New Roman" w:hAnsi="Times New Roman" w:cs="Times New Roman"/>
          <w:sz w:val="24"/>
          <w:szCs w:val="24"/>
        </w:rPr>
        <w:t xml:space="preserve"> «percute</w:t>
      </w:r>
      <w:proofErr w:type="gramEnd"/>
      <w:r>
        <w:rPr>
          <w:rFonts w:ascii="Times New Roman" w:eastAsia="Times New Roman" w:hAnsi="Times New Roman" w:cs="Times New Roman"/>
          <w:sz w:val="24"/>
          <w:szCs w:val="24"/>
        </w:rPr>
        <w:t>» et me commande :</w:t>
      </w:r>
      <w:proofErr w:type="gramStart"/>
      <w:r>
        <w:rPr>
          <w:rFonts w:ascii="Times New Roman" w:eastAsia="Times New Roman" w:hAnsi="Times New Roman" w:cs="Times New Roman"/>
          <w:sz w:val="24"/>
          <w:szCs w:val="24"/>
        </w:rPr>
        <w:t xml:space="preserve"> «Tu</w:t>
      </w:r>
      <w:proofErr w:type="gramEnd"/>
      <w:r>
        <w:rPr>
          <w:rFonts w:ascii="Times New Roman" w:eastAsia="Times New Roman" w:hAnsi="Times New Roman" w:cs="Times New Roman"/>
          <w:sz w:val="24"/>
          <w:szCs w:val="24"/>
        </w:rPr>
        <w:t xml:space="preserve"> ne tueras </w:t>
      </w:r>
      <w:proofErr w:type="gramStart"/>
      <w:r>
        <w:rPr>
          <w:rFonts w:ascii="Times New Roman" w:eastAsia="Times New Roman" w:hAnsi="Times New Roman" w:cs="Times New Roman"/>
          <w:sz w:val="24"/>
          <w:szCs w:val="24"/>
        </w:rPr>
        <w:t>point»</w:t>
      </w:r>
      <w:proofErr w:type="gramEnd"/>
      <w:r>
        <w:rPr>
          <w:rFonts w:ascii="Times New Roman" w:eastAsia="Times New Roman" w:hAnsi="Times New Roman" w:cs="Times New Roman"/>
          <w:sz w:val="24"/>
          <w:szCs w:val="24"/>
        </w:rPr>
        <w:t>, ce qui signifie aussi</w:t>
      </w:r>
      <w:proofErr w:type="gramStart"/>
      <w:r>
        <w:rPr>
          <w:rFonts w:ascii="Times New Roman" w:eastAsia="Times New Roman" w:hAnsi="Times New Roman" w:cs="Times New Roman"/>
          <w:sz w:val="24"/>
          <w:szCs w:val="24"/>
        </w:rPr>
        <w:t xml:space="preserve"> «Tu</w:t>
      </w:r>
      <w:proofErr w:type="gramEnd"/>
      <w:r>
        <w:rPr>
          <w:rFonts w:ascii="Times New Roman" w:eastAsia="Times New Roman" w:hAnsi="Times New Roman" w:cs="Times New Roman"/>
          <w:sz w:val="24"/>
          <w:szCs w:val="24"/>
        </w:rPr>
        <w:t xml:space="preserve"> ne laisseras pas l'autre mourir </w:t>
      </w:r>
      <w:proofErr w:type="spellStart"/>
      <w:r>
        <w:rPr>
          <w:rFonts w:ascii="Times New Roman" w:eastAsia="Times New Roman" w:hAnsi="Times New Roman" w:cs="Times New Roman"/>
          <w:sz w:val="24"/>
          <w:szCs w:val="24"/>
        </w:rPr>
        <w:t>seul·</w:t>
      </w:r>
      <w:proofErr w:type="gram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Lévinas</w:t>
      </w:r>
      <w:proofErr w:type="spellEnd"/>
      <w:r>
        <w:rPr>
          <w:rFonts w:ascii="Times New Roman" w:eastAsia="Times New Roman" w:hAnsi="Times New Roman" w:cs="Times New Roman"/>
          <w:sz w:val="24"/>
          <w:szCs w:val="24"/>
        </w:rPr>
        <w:t xml:space="preserve"> invoque ici la figure de l’otage afin de montrer que l’on est responsable de l’autre avant même d’avoir statué sur notre relation. Cette responsabilité est asymétrique, l’autre passe avant moi, et devient donc mon Maître ou ma Maîtresse, d’une manière inattendue car c’est précisément sa faiblesse qui </w:t>
      </w:r>
      <w:r>
        <w:rPr>
          <w:rFonts w:ascii="Times New Roman" w:eastAsia="Times New Roman" w:hAnsi="Times New Roman" w:cs="Times New Roman"/>
          <w:sz w:val="24"/>
          <w:szCs w:val="24"/>
        </w:rPr>
        <w:lastRenderedPageBreak/>
        <w:t>m’asservit. Je suis</w:t>
      </w:r>
      <w:proofErr w:type="gramStart"/>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élu</w:t>
      </w:r>
      <w:proofErr w:type="gramEnd"/>
      <w:r>
        <w:rPr>
          <w:rFonts w:ascii="Times New Roman" w:eastAsia="Times New Roman" w:hAnsi="Times New Roman" w:cs="Times New Roman"/>
          <w:sz w:val="24"/>
          <w:szCs w:val="24"/>
        </w:rPr>
        <w:t>·</w:t>
      </w:r>
      <w:proofErr w:type="gram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à répondre de lui, d’elle, sans pouvoir me défiler, comme si je lui étais </w:t>
      </w:r>
      <w:proofErr w:type="spellStart"/>
      <w:r>
        <w:rPr>
          <w:rFonts w:ascii="Times New Roman" w:eastAsia="Times New Roman" w:hAnsi="Times New Roman" w:cs="Times New Roman"/>
          <w:sz w:val="24"/>
          <w:szCs w:val="24"/>
        </w:rPr>
        <w:t>substitué·e</w:t>
      </w:r>
      <w:proofErr w:type="spellEnd"/>
      <w:r>
        <w:rPr>
          <w:rFonts w:ascii="Times New Roman" w:eastAsia="Times New Roman" w:hAnsi="Times New Roman" w:cs="Times New Roman"/>
          <w:sz w:val="24"/>
          <w:szCs w:val="24"/>
        </w:rPr>
        <w:t xml:space="preserve">, portant le poids de sa faim et de sa misère. L'éthique est donc cette urgence absolue qui me sort de mon repos pour me mettre au service de l'infini d'autrui. </w:t>
      </w:r>
    </w:p>
    <w:p w14:paraId="000000AE"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intransigeance éthique intrinsèque à toute relation idéale peut être confrontée à une approche de l’éthique sensorielle et incarnée. Ainsi, Maurice Merleau-Ponty approche cette notion à partir de notre appartenance commune à la Chair. L’auteur définit la « Chair du monde » comme l’étoffe sensible qui nous est commune et grâce à laquelle nous comprenons la douleur de l’autre</w:t>
      </w:r>
      <w:r>
        <w:rPr>
          <w:rFonts w:ascii="Times New Roman" w:eastAsia="Times New Roman" w:hAnsi="Times New Roman" w:cs="Times New Roman"/>
          <w:sz w:val="24"/>
          <w:szCs w:val="24"/>
          <w:vertAlign w:val="superscript"/>
        </w:rPr>
        <w:footnoteReference w:id="32"/>
      </w:r>
      <w:r>
        <w:rPr>
          <w:rFonts w:ascii="Times New Roman" w:eastAsia="Times New Roman" w:hAnsi="Times New Roman" w:cs="Times New Roman"/>
          <w:sz w:val="24"/>
          <w:szCs w:val="24"/>
        </w:rPr>
        <w:t xml:space="preserve">. Ainsi, en voyant une main </w:t>
      </w:r>
      <w:proofErr w:type="gramStart"/>
      <w:r>
        <w:rPr>
          <w:rFonts w:ascii="Times New Roman" w:eastAsia="Times New Roman" w:hAnsi="Times New Roman" w:cs="Times New Roman"/>
          <w:sz w:val="24"/>
          <w:szCs w:val="24"/>
        </w:rPr>
        <w:t>blessée,  mon</w:t>
      </w:r>
      <w:proofErr w:type="gramEnd"/>
      <w:r>
        <w:rPr>
          <w:rFonts w:ascii="Times New Roman" w:eastAsia="Times New Roman" w:hAnsi="Times New Roman" w:cs="Times New Roman"/>
          <w:sz w:val="24"/>
          <w:szCs w:val="24"/>
        </w:rPr>
        <w:t xml:space="preserve"> propre corps « comprend » cette douleur parce que je suis moi-même un être de peau et de nerfs, c’est à partir de cette analyse qu’il développe le concept « d’</w:t>
      </w:r>
      <w:proofErr w:type="spellStart"/>
      <w:r>
        <w:rPr>
          <w:rFonts w:ascii="Times New Roman" w:eastAsia="Times New Roman" w:hAnsi="Times New Roman" w:cs="Times New Roman"/>
          <w:sz w:val="24"/>
          <w:szCs w:val="24"/>
        </w:rPr>
        <w:t>intercorporeité</w:t>
      </w:r>
      <w:proofErr w:type="spellEnd"/>
      <w:r>
        <w:rPr>
          <w:rFonts w:ascii="Times New Roman" w:eastAsia="Times New Roman" w:hAnsi="Times New Roman" w:cs="Times New Roman"/>
          <w:sz w:val="24"/>
          <w:szCs w:val="24"/>
        </w:rPr>
        <w:t> ». Contrairement à l'asymétrie brutale de Levinas, Merleau-Ponty insiste sur la réversibilité : je peux toucher parce que je suis touchable, je peux voir parce que je suis visible. La relation à l'autre devient donc un tissage où nos sensibilités se rencontrent. Le soin est alors possible parce qu'il y a une proximité physique, une résonance entre mon corps et celui de l'autre, permettant au geste de soin d'être un dialogue silencieux entre deux êtres de chair.</w:t>
      </w:r>
    </w:p>
    <w:p w14:paraId="000000AF" w14:textId="77777777" w:rsidR="004E766C" w:rsidRDefault="00000000">
      <w:pPr>
        <w:shd w:val="clear" w:color="auto" w:fill="FFFFFF"/>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L’analyse de François-David </w:t>
      </w:r>
      <w:proofErr w:type="spellStart"/>
      <w:r>
        <w:rPr>
          <w:rFonts w:ascii="Times New Roman" w:eastAsia="Times New Roman" w:hAnsi="Times New Roman" w:cs="Times New Roman"/>
          <w:sz w:val="24"/>
          <w:szCs w:val="24"/>
        </w:rPr>
        <w:t>Sebbah</w:t>
      </w:r>
      <w:proofErr w:type="spellEnd"/>
      <w:r>
        <w:rPr>
          <w:rFonts w:ascii="Times New Roman" w:eastAsia="Times New Roman" w:hAnsi="Times New Roman" w:cs="Times New Roman"/>
          <w:sz w:val="24"/>
          <w:szCs w:val="24"/>
        </w:rPr>
        <w:t xml:space="preserve"> propose une reconfiguration du concept de </w:t>
      </w:r>
      <w:r>
        <w:rPr>
          <w:rFonts w:ascii="Times New Roman" w:eastAsia="Times New Roman" w:hAnsi="Times New Roman" w:cs="Times New Roman"/>
          <w:i/>
          <w:iCs/>
          <w:sz w:val="24"/>
          <w:szCs w:val="24"/>
        </w:rPr>
        <w:t>care</w:t>
      </w:r>
      <w:r>
        <w:rPr>
          <w:rFonts w:ascii="Times New Roman" w:eastAsia="Times New Roman" w:hAnsi="Times New Roman" w:cs="Times New Roman"/>
          <w:sz w:val="24"/>
          <w:szCs w:val="24"/>
        </w:rPr>
        <w:t xml:space="preserve"> (le soin) en le protégeant d'une dérive purement fonctionnelle ou émotionnelle</w:t>
      </w:r>
      <w:r>
        <w:rPr>
          <w:rFonts w:ascii="Times New Roman" w:eastAsia="Times New Roman" w:hAnsi="Times New Roman" w:cs="Times New Roman"/>
          <w:sz w:val="24"/>
          <w:szCs w:val="24"/>
          <w:vertAlign w:val="superscript"/>
        </w:rPr>
        <w:footnoteReference w:id="33"/>
      </w:r>
      <w:r>
        <w:rPr>
          <w:rFonts w:ascii="Times New Roman" w:eastAsia="Times New Roman" w:hAnsi="Times New Roman" w:cs="Times New Roman"/>
          <w:sz w:val="24"/>
          <w:szCs w:val="24"/>
        </w:rPr>
        <w:t xml:space="preserve">. L'auteur soutient que pour échapper à la froideur de l'objectivation médicale où la patiente est réduite à un organisme à réparer ou à un dossier administratif. Le soin doit se ressourcer aux deux pôles de la phénoménologie française : l'asymétrie radicale de Levinas et l'entrelacs charnel de Merleau-Ponty.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ou le </w:t>
      </w:r>
      <w:proofErr w:type="spellStart"/>
      <w:r>
        <w:rPr>
          <w:rFonts w:ascii="Times New Roman" w:eastAsia="Times New Roman" w:hAnsi="Times New Roman" w:cs="Times New Roman"/>
          <w:sz w:val="24"/>
          <w:szCs w:val="24"/>
        </w:rPr>
        <w:t>professionnel·le</w:t>
      </w:r>
      <w:proofErr w:type="spellEnd"/>
      <w:r>
        <w:rPr>
          <w:rFonts w:ascii="Times New Roman" w:eastAsia="Times New Roman" w:hAnsi="Times New Roman" w:cs="Times New Roman"/>
          <w:sz w:val="24"/>
          <w:szCs w:val="24"/>
        </w:rPr>
        <w:t xml:space="preserve"> ne se contente pas d’appliquer un savoir médical ou thérapeutique mais plutôt reconnaît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ou le </w:t>
      </w:r>
      <w:proofErr w:type="spellStart"/>
      <w:r>
        <w:rPr>
          <w:rFonts w:ascii="Times New Roman" w:eastAsia="Times New Roman" w:hAnsi="Times New Roman" w:cs="Times New Roman"/>
          <w:sz w:val="24"/>
          <w:szCs w:val="24"/>
        </w:rPr>
        <w:t>patient·e</w:t>
      </w:r>
      <w:proofErr w:type="spellEnd"/>
      <w:r>
        <w:rPr>
          <w:rFonts w:ascii="Times New Roman" w:eastAsia="Times New Roman" w:hAnsi="Times New Roman" w:cs="Times New Roman"/>
          <w:sz w:val="24"/>
          <w:szCs w:val="24"/>
        </w:rPr>
        <w:t xml:space="preserve"> comme </w:t>
      </w:r>
      <w:proofErr w:type="spellStart"/>
      <w:r>
        <w:rPr>
          <w:rFonts w:ascii="Times New Roman" w:eastAsia="Times New Roman" w:hAnsi="Times New Roman" w:cs="Times New Roman"/>
          <w:sz w:val="24"/>
          <w:szCs w:val="24"/>
        </w:rPr>
        <w:t>un·e</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sujet </w:t>
      </w:r>
      <w:proofErr w:type="spellStart"/>
      <w:r>
        <w:rPr>
          <w:rFonts w:ascii="Times New Roman" w:eastAsia="Times New Roman" w:hAnsi="Times New Roman" w:cs="Times New Roman"/>
          <w:sz w:val="24"/>
          <w:szCs w:val="24"/>
        </w:rPr>
        <w:t>porteur·se</w:t>
      </w:r>
      <w:proofErr w:type="spellEnd"/>
      <w:r>
        <w:rPr>
          <w:rFonts w:ascii="Times New Roman" w:eastAsia="Times New Roman" w:hAnsi="Times New Roman" w:cs="Times New Roman"/>
          <w:sz w:val="24"/>
          <w:szCs w:val="24"/>
        </w:rPr>
        <w:t xml:space="preserve"> d’une histoire et d’une vulnérabilité que son visage changeant m’oblige à ne pas figer. Le soin repose sur une dimension morale et relationnelle qui dépasse l’objectif strict de guérison, puisqu’il est possible d’accompagner et de soulager une personne même lorsque la disparition de la maladie n’est pas possible.</w:t>
      </w:r>
    </w:p>
    <w:p w14:paraId="000000B0" w14:textId="77777777" w:rsidR="004E766C" w:rsidRDefault="00000000">
      <w:pPr>
        <w:pStyle w:val="Titre3"/>
        <w:shd w:val="clear" w:color="auto" w:fill="FFFFFF"/>
        <w:spacing w:before="240" w:after="240"/>
        <w:ind w:firstLine="720"/>
      </w:pPr>
      <w:bookmarkStart w:id="45" w:name="_heading=h.7dtrq13fuhh0" w:colFirst="0" w:colLast="0"/>
      <w:bookmarkEnd w:id="45"/>
      <w:r>
        <w:t>B. Penser l’altérité incarnée : vers une hospitalité des corps dominés</w:t>
      </w:r>
    </w:p>
    <w:p w14:paraId="000000B1" w14:textId="77777777" w:rsidR="004E766C" w:rsidRDefault="00000000">
      <w:pPr>
        <w:shd w:val="clear" w:color="auto" w:fill="FFFFFF"/>
        <w:spacing w:before="240" w:after="240" w:line="240" w:lineRule="auto"/>
        <w:ind w:firstLine="720"/>
        <w:jc w:val="both"/>
      </w:pPr>
      <w:r>
        <w:rPr>
          <w:rFonts w:ascii="Times New Roman" w:eastAsia="Times New Roman" w:hAnsi="Times New Roman" w:cs="Times New Roman"/>
          <w:sz w:val="24"/>
          <w:szCs w:val="24"/>
        </w:rPr>
        <w:t xml:space="preserve">Si cette approche phénoménologique permet de fonder l’éthique du soin dans la rencontre des corps, elle doit néanmoins se confronter aux réalités politiques qui hiérarchisent ces mêmes corps. Penser un horizon d’attente véritable suppose alors d’intégrer les structures de domination croisées comme point de départ de toute hospitalité féministe. Il nous a ainsi semblé nécessaire d’inclure les analyses postcoloniales qui ont enrichi la notion d’hospitalité féministe pour deux raisons. D’une part, car les femmes n’ayant pas la nationalité française sont surreprésentées parmi les bénéficiaires de la MDF, elles en constituent environ le tiers, et d’autres femmes françaises et racisées peuvent être exposées à des discriminations héritées de l’imaginaire colonial. D’autre part car il apparaît nécessaire de s’interroger sur les rapports de domination croisés et donc sur les facteurs qui donnent lieu à un déclassement des </w:t>
      </w:r>
      <w:proofErr w:type="spellStart"/>
      <w:r>
        <w:rPr>
          <w:rFonts w:ascii="Times New Roman" w:eastAsia="Times New Roman" w:hAnsi="Times New Roman" w:cs="Times New Roman"/>
          <w:sz w:val="24"/>
          <w:szCs w:val="24"/>
        </w:rPr>
        <w:t>individu·es</w:t>
      </w:r>
      <w:proofErr w:type="spellEnd"/>
      <w:r>
        <w:rPr>
          <w:rFonts w:ascii="Times New Roman" w:eastAsia="Times New Roman" w:hAnsi="Times New Roman" w:cs="Times New Roman"/>
          <w:sz w:val="24"/>
          <w:szCs w:val="24"/>
        </w:rPr>
        <w:t xml:space="preserve">, c’est-à-dire </w:t>
      </w:r>
      <w:proofErr w:type="gramStart"/>
      <w:r>
        <w:rPr>
          <w:rFonts w:ascii="Times New Roman" w:eastAsia="Times New Roman" w:hAnsi="Times New Roman" w:cs="Times New Roman"/>
          <w:sz w:val="24"/>
          <w:szCs w:val="24"/>
        </w:rPr>
        <w:t>qui  dégradent</w:t>
      </w:r>
      <w:proofErr w:type="gramEnd"/>
      <w:r>
        <w:rPr>
          <w:rFonts w:ascii="Times New Roman" w:eastAsia="Times New Roman" w:hAnsi="Times New Roman" w:cs="Times New Roman"/>
          <w:sz w:val="24"/>
          <w:szCs w:val="24"/>
        </w:rPr>
        <w:t xml:space="preserve"> leur position sociale, afin de partir des besoins des personnes plus susceptibles de souffrir de différentes discriminations et d’élaborer à partir de cette position plus vulnérable, ou vulnérabilisée, une éthique de l’hospitalité. Cette hospitalité admettra nécessairement l’écoute pour commencement, car pour Gayatri Chakravorty Spivak, « Accueillir sans laisser l’autre parler, sans reconnaître la complexité de sa position sociale, </w:t>
      </w:r>
      <w:r>
        <w:rPr>
          <w:rFonts w:ascii="Times New Roman" w:eastAsia="Times New Roman" w:hAnsi="Times New Roman" w:cs="Times New Roman"/>
          <w:sz w:val="24"/>
          <w:szCs w:val="24"/>
        </w:rPr>
        <w:lastRenderedPageBreak/>
        <w:t>revient à reconduire des rapports coloniaux</w:t>
      </w:r>
      <w:r>
        <w:rPr>
          <w:rFonts w:ascii="Times New Roman" w:eastAsia="Times New Roman" w:hAnsi="Times New Roman" w:cs="Times New Roman"/>
          <w:i/>
          <w:iCs/>
          <w:sz w:val="24"/>
          <w:szCs w:val="24"/>
        </w:rPr>
        <w:t xml:space="preserve"> »</w:t>
      </w:r>
      <w:r>
        <w:rPr>
          <w:rFonts w:ascii="Times New Roman" w:eastAsia="Times New Roman" w:hAnsi="Times New Roman" w:cs="Times New Roman"/>
          <w:i/>
          <w:iCs/>
          <w:sz w:val="24"/>
          <w:szCs w:val="24"/>
          <w:vertAlign w:val="superscript"/>
        </w:rPr>
        <w:footnoteReference w:id="34"/>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l’hospitalité doit donc ouvrir un espace où la parole subalterne n’est pas traduite, simplifiée ou récupérée par le dominant. Chandra </w:t>
      </w:r>
      <w:proofErr w:type="spellStart"/>
      <w:r>
        <w:rPr>
          <w:rFonts w:ascii="Times New Roman" w:eastAsia="Times New Roman" w:hAnsi="Times New Roman" w:cs="Times New Roman"/>
          <w:sz w:val="24"/>
          <w:szCs w:val="24"/>
        </w:rPr>
        <w:t>Talpade</w:t>
      </w:r>
      <w:proofErr w:type="spellEnd"/>
      <w:r>
        <w:rPr>
          <w:rFonts w:ascii="Times New Roman" w:eastAsia="Times New Roman" w:hAnsi="Times New Roman" w:cs="Times New Roman"/>
          <w:sz w:val="24"/>
          <w:szCs w:val="24"/>
        </w:rPr>
        <w:t xml:space="preserve"> Mohanty décrit et critique ainsi le féminisme occidental, qui construit « la femme du tiers-monde » comme une figure homogène, passive et vulnérable</w:t>
      </w:r>
      <w:r>
        <w:rPr>
          <w:rFonts w:ascii="Times New Roman" w:eastAsia="Times New Roman" w:hAnsi="Times New Roman" w:cs="Times New Roman"/>
          <w:sz w:val="24"/>
          <w:szCs w:val="24"/>
          <w:vertAlign w:val="superscript"/>
        </w:rPr>
        <w:footnoteReference w:id="35"/>
      </w:r>
      <w:r>
        <w:rPr>
          <w:rFonts w:ascii="Times New Roman" w:eastAsia="Times New Roman" w:hAnsi="Times New Roman" w:cs="Times New Roman"/>
          <w:sz w:val="24"/>
          <w:szCs w:val="24"/>
        </w:rPr>
        <w:t>. Il semble nécessaire pour une hospitalité féministe postcoloniale de renoncer aux récits qui figent l’autre dans la vulnérabilité et, au contraire, de reconnaître ses pratiques politiques, ses réseaux de solidarité et ses formes d’autonomie. Patricia Hill Collins montre quant à elle que les oppressions de race, de genre et de classe ne s’additionnent pas mais se co-produisent</w:t>
      </w:r>
      <w:r>
        <w:rPr>
          <w:rFonts w:ascii="Times New Roman" w:eastAsia="Times New Roman" w:hAnsi="Times New Roman" w:cs="Times New Roman"/>
          <w:sz w:val="24"/>
          <w:szCs w:val="24"/>
          <w:vertAlign w:val="superscript"/>
        </w:rPr>
        <w:footnoteReference w:id="36"/>
      </w:r>
      <w:r>
        <w:rPr>
          <w:rFonts w:ascii="Times New Roman" w:eastAsia="Times New Roman" w:hAnsi="Times New Roman" w:cs="Times New Roman"/>
          <w:sz w:val="24"/>
          <w:szCs w:val="24"/>
        </w:rPr>
        <w:t xml:space="preserve">. Accueillir l’autre ne signifie donc pas accueillir </w:t>
      </w:r>
      <w:proofErr w:type="spellStart"/>
      <w:r>
        <w:rPr>
          <w:rFonts w:ascii="Times New Roman" w:eastAsia="Times New Roman" w:hAnsi="Times New Roman" w:cs="Times New Roman"/>
          <w:sz w:val="24"/>
          <w:szCs w:val="24"/>
        </w:rPr>
        <w:t>un·e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individu·</w:t>
      </w:r>
      <w:proofErr w:type="gramStart"/>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abstrait</w:t>
      </w:r>
      <w:proofErr w:type="gramEnd"/>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mais une personne située à l’intersection de plusieurs rapports de domination. Enfin, pour Sara Ahmed, l’</w:t>
      </w:r>
      <w:proofErr w:type="spellStart"/>
      <w:r>
        <w:rPr>
          <w:rFonts w:ascii="Times New Roman" w:eastAsia="Times New Roman" w:hAnsi="Times New Roman" w:cs="Times New Roman"/>
          <w:sz w:val="24"/>
          <w:szCs w:val="24"/>
        </w:rPr>
        <w:t>étranger·ère</w:t>
      </w:r>
      <w:proofErr w:type="spellEnd"/>
      <w:r>
        <w:rPr>
          <w:rFonts w:ascii="Times New Roman" w:eastAsia="Times New Roman" w:hAnsi="Times New Roman" w:cs="Times New Roman"/>
          <w:sz w:val="24"/>
          <w:szCs w:val="24"/>
        </w:rPr>
        <w:t xml:space="preserve"> n’est pas une réalité objective : il ou elle est </w:t>
      </w:r>
      <w:proofErr w:type="spellStart"/>
      <w:proofErr w:type="gramStart"/>
      <w:r>
        <w:rPr>
          <w:rFonts w:ascii="Times New Roman" w:eastAsia="Times New Roman" w:hAnsi="Times New Roman" w:cs="Times New Roman"/>
          <w:sz w:val="24"/>
          <w:szCs w:val="24"/>
        </w:rPr>
        <w:t>produit</w:t>
      </w:r>
      <w:proofErr w:type="gramEnd"/>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par des discours, des représentations, des peurs héritées de l’histoire coloniale</w:t>
      </w:r>
      <w:r>
        <w:rPr>
          <w:rFonts w:ascii="Times New Roman" w:eastAsia="Times New Roman" w:hAnsi="Times New Roman" w:cs="Times New Roman"/>
          <w:sz w:val="24"/>
          <w:szCs w:val="24"/>
          <w:vertAlign w:val="superscript"/>
        </w:rPr>
        <w:footnoteReference w:id="37"/>
      </w:r>
      <w:r>
        <w:rPr>
          <w:rFonts w:ascii="Times New Roman" w:eastAsia="Times New Roman" w:hAnsi="Times New Roman" w:cs="Times New Roman"/>
          <w:sz w:val="24"/>
          <w:szCs w:val="24"/>
        </w:rPr>
        <w:t>. Cet imaginaire donne lieu à des inégalités de diagnostic et de traitement en médecine, notamment au travers de l’invention de conditions physiologiques propres à des populations stigmatisées. A titre d’exemple, l’invention du syndrome méditerranéen selon lequel les populations méditerranéennes supporteraient mieux la douleur que les autres est l’une des consécrations médicales de l’héritage colonial</w:t>
      </w:r>
      <w:r>
        <w:rPr>
          <w:rFonts w:ascii="Times New Roman" w:eastAsia="Times New Roman" w:hAnsi="Times New Roman" w:cs="Times New Roman"/>
          <w:sz w:val="24"/>
          <w:szCs w:val="24"/>
          <w:vertAlign w:val="superscript"/>
        </w:rPr>
        <w:footnoteReference w:id="38"/>
      </w:r>
      <w:r>
        <w:rPr>
          <w:rFonts w:ascii="Times New Roman" w:eastAsia="Times New Roman" w:hAnsi="Times New Roman" w:cs="Times New Roman"/>
          <w:sz w:val="24"/>
          <w:szCs w:val="24"/>
        </w:rPr>
        <w:t>. En mobilisant l’imaginaire lié à l’</w:t>
      </w:r>
      <w:proofErr w:type="spellStart"/>
      <w:r>
        <w:rPr>
          <w:rFonts w:ascii="Times New Roman" w:eastAsia="Times New Roman" w:hAnsi="Times New Roman" w:cs="Times New Roman"/>
          <w:sz w:val="24"/>
          <w:szCs w:val="24"/>
        </w:rPr>
        <w:t>étranger·ère</w:t>
      </w:r>
      <w:proofErr w:type="spellEnd"/>
      <w:r>
        <w:rPr>
          <w:rFonts w:ascii="Times New Roman" w:eastAsia="Times New Roman" w:hAnsi="Times New Roman" w:cs="Times New Roman"/>
          <w:sz w:val="24"/>
          <w:szCs w:val="24"/>
        </w:rPr>
        <w:t xml:space="preserve"> non </w:t>
      </w:r>
      <w:proofErr w:type="spellStart"/>
      <w:r>
        <w:rPr>
          <w:rFonts w:ascii="Times New Roman" w:eastAsia="Times New Roman" w:hAnsi="Times New Roman" w:cs="Times New Roman"/>
          <w:sz w:val="24"/>
          <w:szCs w:val="24"/>
        </w:rPr>
        <w:t>blanc·he</w:t>
      </w:r>
      <w:proofErr w:type="spellEnd"/>
      <w:r>
        <w:rPr>
          <w:rFonts w:ascii="Times New Roman" w:eastAsia="Times New Roman" w:hAnsi="Times New Roman" w:cs="Times New Roman"/>
          <w:sz w:val="24"/>
          <w:szCs w:val="24"/>
        </w:rPr>
        <w:t xml:space="preserve"> et anciennement </w:t>
      </w:r>
      <w:proofErr w:type="spellStart"/>
      <w:r>
        <w:rPr>
          <w:rFonts w:ascii="Times New Roman" w:eastAsia="Times New Roman" w:hAnsi="Times New Roman" w:cs="Times New Roman"/>
          <w:sz w:val="24"/>
          <w:szCs w:val="24"/>
        </w:rPr>
        <w:t>colonisé·e</w:t>
      </w:r>
      <w:proofErr w:type="spellEnd"/>
      <w:r>
        <w:rPr>
          <w:rFonts w:ascii="Times New Roman" w:eastAsia="Times New Roman" w:hAnsi="Times New Roman" w:cs="Times New Roman"/>
          <w:sz w:val="24"/>
          <w:szCs w:val="24"/>
        </w:rPr>
        <w:t>, la médecine a pu s’extirper partiellement de la déontologie qu’elle avait pourtant fait serment de respecter</w:t>
      </w:r>
      <w:r>
        <w:rPr>
          <w:rFonts w:ascii="Times New Roman" w:eastAsia="Times New Roman" w:hAnsi="Times New Roman" w:cs="Times New Roman"/>
          <w:sz w:val="24"/>
          <w:szCs w:val="24"/>
          <w:vertAlign w:val="superscript"/>
        </w:rPr>
        <w:footnoteReference w:id="39"/>
      </w:r>
      <w:r>
        <w:rPr>
          <w:rFonts w:ascii="Times New Roman" w:eastAsia="Times New Roman" w:hAnsi="Times New Roman" w:cs="Times New Roman"/>
          <w:sz w:val="24"/>
          <w:szCs w:val="24"/>
        </w:rPr>
        <w:t xml:space="preserve"> : « Je ferai tout pour soulager les souffrances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Une hospitalité féministe doit donc dénaturaliser la figure de l’étrangère, reconnaître le poids des affects raciaux et déconstruire les émotions qui justifient l’exclusion. </w:t>
      </w:r>
    </w:p>
    <w:p w14:paraId="000000B2" w14:textId="77777777" w:rsidR="004E766C" w:rsidRDefault="00000000">
      <w:pPr>
        <w:pStyle w:val="Titre3"/>
      </w:pPr>
      <w:bookmarkStart w:id="46" w:name="_heading=h.vfggq968wzr3" w:colFirst="0" w:colLast="0"/>
      <w:bookmarkEnd w:id="46"/>
      <w:r>
        <w:t xml:space="preserve">C. L’hospitalité et le soin à l’épreuve du genre : déconstruire les biais de la prise en charge trans </w:t>
      </w:r>
    </w:p>
    <w:p w14:paraId="000000B3" w14:textId="77777777" w:rsidR="004E766C" w:rsidRDefault="004E766C"/>
    <w:p w14:paraId="000000B4"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La transidentité exige elle aussi une remise en question des savoirs appris, notamment en médecine, car la profession médicale est historiquement marquée par une pathologisation de la transidentité. Dean </w:t>
      </w:r>
      <w:proofErr w:type="spellStart"/>
      <w:r>
        <w:rPr>
          <w:rFonts w:ascii="Times New Roman" w:eastAsia="Times New Roman" w:hAnsi="Times New Roman" w:cs="Times New Roman"/>
          <w:sz w:val="24"/>
          <w:szCs w:val="24"/>
        </w:rPr>
        <w:t>Spade</w:t>
      </w:r>
      <w:proofErr w:type="spellEnd"/>
      <w:r>
        <w:rPr>
          <w:rFonts w:ascii="Times New Roman" w:eastAsia="Times New Roman" w:hAnsi="Times New Roman" w:cs="Times New Roman"/>
          <w:sz w:val="24"/>
          <w:szCs w:val="24"/>
        </w:rPr>
        <w:t xml:space="preserve"> nous explique en effet dans </w:t>
      </w:r>
      <w:r>
        <w:rPr>
          <w:rFonts w:ascii="Times New Roman" w:eastAsia="Times New Roman" w:hAnsi="Times New Roman" w:cs="Times New Roman"/>
          <w:i/>
          <w:iCs/>
          <w:sz w:val="24"/>
          <w:szCs w:val="24"/>
        </w:rPr>
        <w:t>Normal Life</w:t>
      </w:r>
      <w:r>
        <w:rPr>
          <w:rFonts w:ascii="Times New Roman" w:eastAsia="Times New Roman" w:hAnsi="Times New Roman" w:cs="Times New Roman"/>
          <w:sz w:val="24"/>
          <w:szCs w:val="24"/>
        </w:rPr>
        <w:t xml:space="preserve"> que le système médical requiert des personnes trans qu’elles se conforment à des imaginaires prévisibles pour qu’elles soient jugées « dignes » d’être soignées ou accompagnées. Les personnes trans doivent ainsi renier leur subjectivité afin que leur parcours de transidentité soit jugé légitime. Aujourd’hui, nous pouvons avoir tendance à penser que la médecine est étroitement liée à l’accomplissement d’un parcours de transidentité réussi grâce aux chirurgies et aux traitements hormonaux qu’elle permet, cependant il est nécessaire pour la ou le médecin de laisser la place à la ou le </w:t>
      </w:r>
      <w:proofErr w:type="spellStart"/>
      <w:r>
        <w:rPr>
          <w:rFonts w:ascii="Times New Roman" w:eastAsia="Times New Roman" w:hAnsi="Times New Roman" w:cs="Times New Roman"/>
          <w:sz w:val="24"/>
          <w:szCs w:val="24"/>
        </w:rPr>
        <w:t>patient·e</w:t>
      </w:r>
      <w:proofErr w:type="spellEnd"/>
      <w:r>
        <w:rPr>
          <w:rFonts w:ascii="Times New Roman" w:eastAsia="Times New Roman" w:hAnsi="Times New Roman" w:cs="Times New Roman"/>
          <w:sz w:val="24"/>
          <w:szCs w:val="24"/>
        </w:rPr>
        <w:t xml:space="preserve"> de s’exprimer quant à sa propre identité et à l’expression de son genre, et non pas de lui imposer des objectifs correspondant à des récits enseignés avant sa rencontre</w:t>
      </w:r>
      <w:r>
        <w:rPr>
          <w:rFonts w:ascii="Times New Roman" w:eastAsia="Times New Roman" w:hAnsi="Times New Roman" w:cs="Times New Roman"/>
          <w:sz w:val="24"/>
          <w:szCs w:val="24"/>
          <w:vertAlign w:val="superscript"/>
        </w:rPr>
        <w:footnoteReference w:id="40"/>
      </w:r>
      <w:r>
        <w:rPr>
          <w:rFonts w:ascii="Times New Roman" w:eastAsia="Times New Roman" w:hAnsi="Times New Roman" w:cs="Times New Roman"/>
          <w:sz w:val="24"/>
          <w:szCs w:val="24"/>
        </w:rPr>
        <w:t xml:space="preserve">. Bien que le système médical ait grandement contribué à l’élaboration de la marginalisation des personnes allant à l’encontre du discours cisnormatif et hétéronormatif au travers de la pathologisation de l’homosexualité et de la transidentité, toutes les professions peuvent faire preuve de </w:t>
      </w:r>
      <w:r>
        <w:rPr>
          <w:rFonts w:ascii="Times New Roman" w:eastAsia="Times New Roman" w:hAnsi="Times New Roman" w:cs="Times New Roman"/>
          <w:sz w:val="24"/>
          <w:szCs w:val="24"/>
        </w:rPr>
        <w:lastRenderedPageBreak/>
        <w:t>discrimination à l’égard des personnes trans et tenter de les figer dans une trajectoire jugée légitime. L'accueil ne peut donc être plein et entier que s'il repose sur une justice épistémique : il s'agit de rompre avec la posture d'</w:t>
      </w:r>
      <w:proofErr w:type="spellStart"/>
      <w:r>
        <w:rPr>
          <w:rFonts w:ascii="Times New Roman" w:eastAsia="Times New Roman" w:hAnsi="Times New Roman" w:cs="Times New Roman"/>
          <w:sz w:val="24"/>
          <w:szCs w:val="24"/>
        </w:rPr>
        <w:t>expert·e</w:t>
      </w:r>
      <w:proofErr w:type="spellEnd"/>
      <w:r>
        <w:rPr>
          <w:rFonts w:ascii="Times New Roman" w:eastAsia="Times New Roman" w:hAnsi="Times New Roman" w:cs="Times New Roman"/>
          <w:sz w:val="24"/>
          <w:szCs w:val="24"/>
        </w:rPr>
        <w:t xml:space="preserve"> qui « sait » à la place de l'autre, pour restaurer la légitimité de </w:t>
      </w:r>
      <w:proofErr w:type="spellStart"/>
      <w:r>
        <w:rPr>
          <w:rFonts w:ascii="Times New Roman" w:eastAsia="Times New Roman" w:hAnsi="Times New Roman" w:cs="Times New Roman"/>
          <w:sz w:val="24"/>
          <w:szCs w:val="24"/>
        </w:rPr>
        <w:t>la</w:t>
      </w:r>
      <w:proofErr w:type="spellEnd"/>
      <w:r>
        <w:rPr>
          <w:rFonts w:ascii="Times New Roman" w:eastAsia="Times New Roman" w:hAnsi="Times New Roman" w:cs="Times New Roman"/>
          <w:sz w:val="24"/>
          <w:szCs w:val="24"/>
        </w:rPr>
        <w:t xml:space="preserve"> ou le </w:t>
      </w:r>
      <w:proofErr w:type="spellStart"/>
      <w:r>
        <w:rPr>
          <w:rFonts w:ascii="Times New Roman" w:eastAsia="Times New Roman" w:hAnsi="Times New Roman" w:cs="Times New Roman"/>
          <w:sz w:val="24"/>
          <w:szCs w:val="24"/>
        </w:rPr>
        <w:t>patient·e</w:t>
      </w:r>
      <w:proofErr w:type="spellEnd"/>
      <w:r>
        <w:rPr>
          <w:rFonts w:ascii="Times New Roman" w:eastAsia="Times New Roman" w:hAnsi="Times New Roman" w:cs="Times New Roman"/>
          <w:sz w:val="24"/>
          <w:szCs w:val="24"/>
        </w:rPr>
        <w:t xml:space="preserve"> à définir son propre corps et son propre vécu. Accueillir l’autre, c’est alors refuser de « traduire » ou de catégoriser son identité selon des normes </w:t>
      </w:r>
      <w:proofErr w:type="spellStart"/>
      <w:r>
        <w:rPr>
          <w:rFonts w:ascii="Times New Roman" w:eastAsia="Times New Roman" w:hAnsi="Times New Roman" w:cs="Times New Roman"/>
          <w:sz w:val="24"/>
          <w:szCs w:val="24"/>
        </w:rPr>
        <w:t>cisgenrées</w:t>
      </w:r>
      <w:proofErr w:type="spellEnd"/>
      <w:r>
        <w:rPr>
          <w:rFonts w:ascii="Times New Roman" w:eastAsia="Times New Roman" w:hAnsi="Times New Roman" w:cs="Times New Roman"/>
          <w:sz w:val="24"/>
          <w:szCs w:val="24"/>
        </w:rPr>
        <w:t>, pour laisser place à une autonomie corporelle et politique enfin reconnue.</w:t>
      </w:r>
      <w:r>
        <w:br w:type="page"/>
      </w:r>
    </w:p>
    <w:p w14:paraId="000000B5" w14:textId="77777777" w:rsidR="004E766C" w:rsidRDefault="004E766C">
      <w:pPr>
        <w:spacing w:line="240" w:lineRule="auto"/>
        <w:rPr>
          <w:rFonts w:ascii="Times New Roman" w:eastAsia="Times New Roman" w:hAnsi="Times New Roman" w:cs="Times New Roman"/>
          <w:sz w:val="24"/>
          <w:szCs w:val="24"/>
        </w:rPr>
      </w:pPr>
    </w:p>
    <w:p w14:paraId="000000B6" w14:textId="77777777" w:rsidR="004E766C" w:rsidRDefault="00000000">
      <w:pPr>
        <w:pStyle w:val="Titre1"/>
        <w:sectPr w:rsidR="004E766C">
          <w:footerReference w:type="default" r:id="rId19"/>
          <w:pgSz w:w="11909" w:h="16834"/>
          <w:pgMar w:top="1440" w:right="1440" w:bottom="1440" w:left="1440" w:header="720" w:footer="720" w:gutter="0"/>
          <w:cols w:space="720"/>
        </w:sectPr>
      </w:pPr>
      <w:bookmarkStart w:id="47" w:name="_heading=h.rawcem8u5v4o" w:colFirst="0" w:colLast="0"/>
      <w:bookmarkEnd w:id="47"/>
      <w:r>
        <w:t xml:space="preserve">PARTIE 2 : Analyse empirique de l’hospitalité : entre pratiques professionnelles, matérialité du lieu et engagements féministes. </w:t>
      </w:r>
    </w:p>
    <w:p w14:paraId="000000B7"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Afin d’avoir une vision d’ensemble de la Maison des Femmes et de répondre au mieux aux demandes qui nous ont été formulées, nous avons mené des entretiens qualitatifs avec les professionnelles qui composent la structure ainsi que des bénéficiaires qui ont pu vivre et voir le dispositif de l’intérieur. Selon Alain Blanchet, professeur de psychologie, et Anne </w:t>
      </w:r>
      <w:proofErr w:type="spellStart"/>
      <w:r>
        <w:rPr>
          <w:rFonts w:ascii="Times New Roman" w:eastAsia="Times New Roman" w:hAnsi="Times New Roman" w:cs="Times New Roman"/>
          <w:sz w:val="24"/>
          <w:szCs w:val="24"/>
        </w:rPr>
        <w:t>Gotman</w:t>
      </w:r>
      <w:proofErr w:type="spellEnd"/>
      <w:r>
        <w:rPr>
          <w:rFonts w:ascii="Times New Roman" w:eastAsia="Times New Roman" w:hAnsi="Times New Roman" w:cs="Times New Roman"/>
          <w:sz w:val="24"/>
          <w:szCs w:val="24"/>
        </w:rPr>
        <w:t xml:space="preserve">, directrice de recherche au CNRS, l’entretien est particulièrement pertinent lorsqu’on souhaite analyser le sens que les </w:t>
      </w:r>
      <w:proofErr w:type="spellStart"/>
      <w:r>
        <w:rPr>
          <w:rFonts w:ascii="Times New Roman" w:eastAsia="Times New Roman" w:hAnsi="Times New Roman" w:cs="Times New Roman"/>
          <w:sz w:val="24"/>
          <w:szCs w:val="24"/>
        </w:rPr>
        <w:t>acteurs·trices</w:t>
      </w:r>
      <w:proofErr w:type="spellEnd"/>
      <w:r>
        <w:rPr>
          <w:rFonts w:ascii="Times New Roman" w:eastAsia="Times New Roman" w:hAnsi="Times New Roman" w:cs="Times New Roman"/>
          <w:sz w:val="24"/>
          <w:szCs w:val="24"/>
        </w:rPr>
        <w:t xml:space="preserve"> donnent à leurs pratiques et aux événements dont ils et elles ont été les témoins</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ainsi que les systèmes de valeurs et repères normatifs à partir desquels ils et elles s’orientent et se déterminent. </w:t>
      </w:r>
      <w:r>
        <w:rPr>
          <w:rFonts w:ascii="Times New Roman" w:eastAsia="Times New Roman" w:hAnsi="Times New Roman" w:cs="Times New Roman"/>
          <w:sz w:val="24"/>
          <w:szCs w:val="24"/>
          <w:vertAlign w:val="superscript"/>
        </w:rPr>
        <w:footnoteReference w:id="41"/>
      </w:r>
    </w:p>
    <w:p w14:paraId="000000B8" w14:textId="77777777" w:rsidR="004E766C" w:rsidRDefault="004E766C">
      <w:pPr>
        <w:spacing w:line="240" w:lineRule="auto"/>
        <w:ind w:firstLine="720"/>
        <w:jc w:val="both"/>
        <w:rPr>
          <w:rFonts w:ascii="Times New Roman" w:eastAsia="Times New Roman" w:hAnsi="Times New Roman" w:cs="Times New Roman"/>
          <w:sz w:val="24"/>
          <w:szCs w:val="24"/>
        </w:rPr>
      </w:pPr>
    </w:p>
    <w:p w14:paraId="000000B9" w14:textId="77777777" w:rsidR="004E766C" w:rsidRDefault="00000000">
      <w:pPr>
        <w:pBdr>
          <w:top w:val="none" w:sz="0" w:space="0" w:color="E5E7EB"/>
          <w:left w:val="none" w:sz="0" w:space="0" w:color="E5E7EB"/>
          <w:bottom w:val="none" w:sz="0" w:space="0" w:color="E5E7EB"/>
          <w:right w:val="none" w:sz="0" w:space="0" w:color="E5E7EB"/>
          <w:between w:val="none" w:sz="0" w:space="0" w:color="E5E7EB"/>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notre cas de recherche et de travail, l’hospitalité ne se réduit pas à des procédures ou des dispositifs formels mais à des façons d’accueillir et d’écouter, qui sont porteuses de valeurs et de normes implicites. L’entretien nous a donc permis d’accéder à cette dimension subjective, en laissant les professionnelles expliciter leur conception de l’accueil et les bénéficiaires raconter comment elles ont vécu et ressenti cette hospitalité. Comme le rappellent Blanchet et </w:t>
      </w:r>
      <w:proofErr w:type="spellStart"/>
      <w:r>
        <w:rPr>
          <w:rFonts w:ascii="Times New Roman" w:eastAsia="Times New Roman" w:hAnsi="Times New Roman" w:cs="Times New Roman"/>
          <w:sz w:val="24"/>
          <w:szCs w:val="24"/>
        </w:rPr>
        <w:t>Gotman</w:t>
      </w:r>
      <w:proofErr w:type="spellEnd"/>
      <w:r>
        <w:rPr>
          <w:rFonts w:ascii="Times New Roman" w:eastAsia="Times New Roman" w:hAnsi="Times New Roman" w:cs="Times New Roman"/>
          <w:sz w:val="24"/>
          <w:szCs w:val="24"/>
        </w:rPr>
        <w:t>, l’entretien est avant tout une rencontre. Il permet d’instaurer une relation d’écoute et de confiance. L’entretien qualitatif a ainsi été adapté pour saisir en profondeur le sens donné à l’hospitalité par celles qui la mettent en œuvre et par celles qui en font l’expérience. Nous avons choisi plus précisément de recourir à des entretiens semi-directifs. Ce type d’entretien nous permet de partir de notre guide structuré autour de la notion d’hospitalité tout en laissant une large place à la parole libre pour laisser la possibilité aux femmes que l'on rencontre de développer leurs ressentis et leurs propres définitions de l’hospitalité.</w:t>
      </w:r>
    </w:p>
    <w:p w14:paraId="000000BA" w14:textId="77777777" w:rsidR="004E766C" w:rsidRDefault="004E766C">
      <w:pPr>
        <w:pBdr>
          <w:top w:val="none" w:sz="0" w:space="0" w:color="E5E7EB"/>
          <w:left w:val="none" w:sz="0" w:space="0" w:color="E5E7EB"/>
          <w:bottom w:val="none" w:sz="0" w:space="0" w:color="E5E7EB"/>
          <w:right w:val="none" w:sz="0" w:space="0" w:color="E5E7EB"/>
          <w:between w:val="none" w:sz="0" w:space="0" w:color="E5E7EB"/>
        </w:pBdr>
        <w:spacing w:line="240" w:lineRule="auto"/>
        <w:jc w:val="both"/>
        <w:rPr>
          <w:rFonts w:ascii="Times New Roman" w:eastAsia="Times New Roman" w:hAnsi="Times New Roman" w:cs="Times New Roman"/>
          <w:sz w:val="24"/>
          <w:szCs w:val="24"/>
        </w:rPr>
      </w:pPr>
    </w:p>
    <w:p w14:paraId="000000BB" w14:textId="77777777" w:rsidR="004E766C" w:rsidRDefault="00000000">
      <w:pPr>
        <w:pBdr>
          <w:top w:val="none" w:sz="0" w:space="0" w:color="E5E7EB"/>
          <w:left w:val="none" w:sz="0" w:space="0" w:color="E5E7EB"/>
          <w:bottom w:val="none" w:sz="0" w:space="0" w:color="E5E7EB"/>
          <w:right w:val="none" w:sz="0" w:space="0" w:color="E5E7EB"/>
          <w:between w:val="none" w:sz="0" w:space="0" w:color="E5E7EB"/>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les entretiens avec les bénéficiaires, nous avions prévu de rencontrer uniquement des bénéficiaires en fin </w:t>
      </w:r>
      <w:proofErr w:type="gramStart"/>
      <w:r>
        <w:rPr>
          <w:rFonts w:ascii="Times New Roman" w:eastAsia="Times New Roman" w:hAnsi="Times New Roman" w:cs="Times New Roman"/>
          <w:sz w:val="24"/>
          <w:szCs w:val="24"/>
        </w:rPr>
        <w:t>de  parcours</w:t>
      </w:r>
      <w:proofErr w:type="gramEnd"/>
      <w:r>
        <w:rPr>
          <w:rFonts w:ascii="Times New Roman" w:eastAsia="Times New Roman" w:hAnsi="Times New Roman" w:cs="Times New Roman"/>
          <w:sz w:val="24"/>
          <w:szCs w:val="24"/>
        </w:rPr>
        <w:t xml:space="preserve"> à la MDF. Pour des raisons éthiques d’une part, les femmes en cours de prise en charge sont souvent dans une situation de vulnérabilité et leur priorité est leur suivi, on ne souhaitait donc pas leur ajouter des contraintes liées à une enquête. De plus, nous espérions, en interrogeant des « sortantes </w:t>
      </w:r>
      <w:proofErr w:type="gramStart"/>
      <w:r>
        <w:rPr>
          <w:rFonts w:ascii="Times New Roman" w:eastAsia="Times New Roman" w:hAnsi="Times New Roman" w:cs="Times New Roman"/>
          <w:sz w:val="24"/>
          <w:szCs w:val="24"/>
        </w:rPr>
        <w:t>» ,</w:t>
      </w:r>
      <w:proofErr w:type="gramEnd"/>
      <w:r>
        <w:rPr>
          <w:rFonts w:ascii="Times New Roman" w:eastAsia="Times New Roman" w:hAnsi="Times New Roman" w:cs="Times New Roman"/>
          <w:sz w:val="24"/>
          <w:szCs w:val="24"/>
        </w:rPr>
        <w:t xml:space="preserve"> un regard d’ensemble sur le parcours : leurs perceptions au moment de </w:t>
      </w:r>
      <w:proofErr w:type="gramStart"/>
      <w:r>
        <w:rPr>
          <w:rFonts w:ascii="Times New Roman" w:eastAsia="Times New Roman" w:hAnsi="Times New Roman" w:cs="Times New Roman"/>
          <w:sz w:val="24"/>
          <w:szCs w:val="24"/>
        </w:rPr>
        <w:t>l’accueil  et</w:t>
      </w:r>
      <w:proofErr w:type="gramEnd"/>
      <w:r>
        <w:rPr>
          <w:rFonts w:ascii="Times New Roman" w:eastAsia="Times New Roman" w:hAnsi="Times New Roman" w:cs="Times New Roman"/>
          <w:sz w:val="24"/>
          <w:szCs w:val="24"/>
        </w:rPr>
        <w:t xml:space="preserve"> ce qu’il en reste après coup. Nous avons ainsi rencontré deux femmes étant passées par la MDF. Un entretien s’est déroulé en personne au sein de la Public </w:t>
      </w:r>
      <w:proofErr w:type="spellStart"/>
      <w:r>
        <w:rPr>
          <w:rFonts w:ascii="Times New Roman" w:eastAsia="Times New Roman" w:hAnsi="Times New Roman" w:cs="Times New Roman"/>
          <w:sz w:val="24"/>
          <w:szCs w:val="24"/>
        </w:rPr>
        <w:t>Factory</w:t>
      </w:r>
      <w:proofErr w:type="spellEnd"/>
      <w:r>
        <w:rPr>
          <w:rFonts w:ascii="Times New Roman" w:eastAsia="Times New Roman" w:hAnsi="Times New Roman" w:cs="Times New Roman"/>
          <w:sz w:val="24"/>
          <w:szCs w:val="24"/>
        </w:rPr>
        <w:t xml:space="preserve"> et un deuxième s’est fait par téléphone. Au fil de nos échanges nous avons compris qu’il n’était pas simple de déterminer « une fin » de la prise en charge. En effet, des liens forts subsistent notamment au travers de temps d’échanges informels, de rendez-vous médicaux mais aussi de liens personnels noués avec les professionnelles. Enfin, il faut souligner que le nombre restreint d'entretiens avec les bénéficiaires (deux rencontres) ne permet pas une généralisation, mais offre une plongée qualitative dans le ressenti de l'accueil.</w:t>
      </w:r>
    </w:p>
    <w:p w14:paraId="000000BC" w14:textId="77777777" w:rsidR="004E766C" w:rsidRDefault="004E766C">
      <w:pPr>
        <w:pBdr>
          <w:top w:val="none" w:sz="0" w:space="0" w:color="E5E7EB"/>
          <w:left w:val="none" w:sz="0" w:space="0" w:color="E5E7EB"/>
          <w:bottom w:val="none" w:sz="0" w:space="0" w:color="E5E7EB"/>
          <w:right w:val="none" w:sz="0" w:space="0" w:color="E5E7EB"/>
          <w:between w:val="none" w:sz="0" w:space="0" w:color="E5E7EB"/>
        </w:pBdr>
        <w:spacing w:line="240" w:lineRule="auto"/>
        <w:jc w:val="both"/>
        <w:rPr>
          <w:rFonts w:ascii="Times New Roman" w:eastAsia="Times New Roman" w:hAnsi="Times New Roman" w:cs="Times New Roman"/>
          <w:sz w:val="24"/>
          <w:szCs w:val="24"/>
        </w:rPr>
      </w:pPr>
    </w:p>
    <w:p w14:paraId="000000BD"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les entretiens avec les professionnelles de la Maison des Femmes, nous avions établi une liste des différents corps de métiers présents au sein de la structure : juridique, social, médical, paramédical, psychologique et médico-administratif. Nous souhaitions rencontrer au minimum une professionnelle par volet mais, malheureusement, nous n’avons pas obtenu plus de réponses à nos formulaires d’inscription pour les entretiens.  Nous avons tout de même pu en mener quatre en personne à la Maison des Femmes avec deux juristes, une éducatrice </w:t>
      </w:r>
      <w:r>
        <w:rPr>
          <w:rFonts w:ascii="Times New Roman" w:eastAsia="Times New Roman" w:hAnsi="Times New Roman" w:cs="Times New Roman"/>
          <w:sz w:val="24"/>
          <w:szCs w:val="24"/>
        </w:rPr>
        <w:lastRenderedPageBreak/>
        <w:t xml:space="preserve">spécialisée et une assistante sociale. Nos résultats reflètent donc essentiellement les prismes juridique et social. </w:t>
      </w:r>
    </w:p>
    <w:p w14:paraId="000000BE" w14:textId="77777777" w:rsidR="004E766C" w:rsidRDefault="004E766C">
      <w:pPr>
        <w:spacing w:line="240" w:lineRule="auto"/>
        <w:jc w:val="both"/>
        <w:rPr>
          <w:rFonts w:ascii="Times New Roman" w:eastAsia="Times New Roman" w:hAnsi="Times New Roman" w:cs="Times New Roman"/>
          <w:sz w:val="24"/>
          <w:szCs w:val="24"/>
        </w:rPr>
      </w:pPr>
    </w:p>
    <w:p w14:paraId="000000BF"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cette partie, nous avons articulé notre analyse empirique autour de trois axes complémentaires qui découlent de notre </w:t>
      </w:r>
      <w:proofErr w:type="gramStart"/>
      <w:r>
        <w:rPr>
          <w:rFonts w:ascii="Times New Roman" w:eastAsia="Times New Roman" w:hAnsi="Times New Roman" w:cs="Times New Roman"/>
          <w:sz w:val="24"/>
          <w:szCs w:val="24"/>
        </w:rPr>
        <w:t>problématique  :</w:t>
      </w:r>
      <w:proofErr w:type="gramEnd"/>
      <w:r>
        <w:rPr>
          <w:rFonts w:ascii="Times New Roman" w:eastAsia="Times New Roman" w:hAnsi="Times New Roman" w:cs="Times New Roman"/>
          <w:sz w:val="24"/>
          <w:szCs w:val="24"/>
        </w:rPr>
        <w:t xml:space="preserve"> la culture partagée, l’espace physique et l’engagement féministe. </w:t>
      </w:r>
    </w:p>
    <w:p w14:paraId="000000C0" w14:textId="77777777" w:rsidR="004E766C" w:rsidRDefault="004E766C">
      <w:pPr>
        <w:spacing w:line="240" w:lineRule="auto"/>
        <w:jc w:val="both"/>
        <w:rPr>
          <w:rFonts w:ascii="Times New Roman" w:eastAsia="Times New Roman" w:hAnsi="Times New Roman" w:cs="Times New Roman"/>
          <w:b/>
          <w:bCs/>
          <w:sz w:val="24"/>
          <w:szCs w:val="24"/>
          <w:u w:val="single"/>
        </w:rPr>
      </w:pPr>
    </w:p>
    <w:p w14:paraId="000000C1" w14:textId="77777777" w:rsidR="004E766C" w:rsidRDefault="00000000">
      <w:pPr>
        <w:pStyle w:val="Titre2"/>
        <w:numPr>
          <w:ilvl w:val="0"/>
          <w:numId w:val="28"/>
        </w:numPr>
        <w:rPr>
          <w:color w:val="000000"/>
        </w:rPr>
      </w:pPr>
      <w:bookmarkStart w:id="48" w:name="_heading=h.9fptaaj5m2ox" w:colFirst="0" w:colLast="0"/>
      <w:bookmarkEnd w:id="48"/>
      <w:r>
        <w:rPr>
          <w:color w:val="000000"/>
        </w:rPr>
        <w:t xml:space="preserve">L’hospitalité en actes : sédimentation d’une culture professionnelle en construction  </w:t>
      </w:r>
    </w:p>
    <w:p w14:paraId="000000C2" w14:textId="77777777" w:rsidR="004E766C" w:rsidRDefault="004E766C">
      <w:pPr>
        <w:pStyle w:val="Titre3"/>
      </w:pPr>
      <w:bookmarkStart w:id="49" w:name="_heading=h.t80zebdequ6" w:colFirst="0" w:colLast="0"/>
      <w:bookmarkEnd w:id="49"/>
    </w:p>
    <w:p w14:paraId="000000C3" w14:textId="77777777" w:rsidR="004E766C" w:rsidRDefault="00000000">
      <w:pPr>
        <w:pStyle w:val="Titre3"/>
        <w:keepNext w:val="0"/>
        <w:keepLines w:val="0"/>
        <w:numPr>
          <w:ilvl w:val="0"/>
          <w:numId w:val="27"/>
        </w:numPr>
      </w:pPr>
      <w:bookmarkStart w:id="50" w:name="_heading=h.jb897ex0nugy" w:colFirst="0" w:colLast="0"/>
      <w:bookmarkEnd w:id="50"/>
      <w:r>
        <w:t>La fabrique de la culture partagée, entre informalité créatrice et réflexion collective</w:t>
      </w:r>
    </w:p>
    <w:p w14:paraId="000000C4" w14:textId="77777777" w:rsidR="004E766C" w:rsidRDefault="004E766C"/>
    <w:p w14:paraId="000000C5"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À la Maison des Femmes, l’hospitalité ne relève pas d’une simple courtoisie de circonstance ou de l’application d’un protocole rigide. Elle s’articule autour de la volonté de s’assurer que les bénéficiaires se sentent attendues et accompagnées dès leur entrée dans le lieu. Ces gestes visent à instaurer une culture du « prendre soin » dès les premiers instants de la rencontre.</w:t>
      </w:r>
    </w:p>
    <w:p w14:paraId="000000C6" w14:textId="77777777" w:rsidR="004E766C" w:rsidRDefault="004E766C">
      <w:pPr>
        <w:spacing w:line="240" w:lineRule="auto"/>
        <w:jc w:val="both"/>
        <w:rPr>
          <w:rFonts w:ascii="Times New Roman" w:eastAsia="Times New Roman" w:hAnsi="Times New Roman" w:cs="Times New Roman"/>
          <w:sz w:val="24"/>
          <w:szCs w:val="24"/>
        </w:rPr>
      </w:pPr>
    </w:p>
    <w:p w14:paraId="000000C7"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Dès la salle d’attente, l’accueil rompt avec les codes institutionnels classiques. En venant chercher la bénéficiaire pour faire le chemin ensemble dans le couloir, la professionnelle substitue à l’appel anonyme une véritable rencontre. Ce simple déplacement suffit à désacraliser la posture de l'</w:t>
      </w:r>
      <w:proofErr w:type="spellStart"/>
      <w:r>
        <w:rPr>
          <w:rFonts w:ascii="Times New Roman" w:eastAsia="Times New Roman" w:hAnsi="Times New Roman" w:cs="Times New Roman"/>
          <w:sz w:val="24"/>
          <w:szCs w:val="24"/>
        </w:rPr>
        <w:t>expert·e</w:t>
      </w:r>
      <w:proofErr w:type="spellEnd"/>
      <w:r>
        <w:rPr>
          <w:rFonts w:ascii="Times New Roman" w:eastAsia="Times New Roman" w:hAnsi="Times New Roman" w:cs="Times New Roman"/>
          <w:sz w:val="24"/>
          <w:szCs w:val="24"/>
        </w:rPr>
        <w:t xml:space="preserve">, plaçant la relation sous le signe de la considération avant même l'entrée dans le bureau. Une professionnelle souligne l’importance de cette gestuelle physique : alors qu’elle avait l’habitude de marcher devant, elle a réalisé qu’il n’est « </w:t>
      </w:r>
      <w:r>
        <w:rPr>
          <w:rFonts w:ascii="Times New Roman" w:eastAsia="Times New Roman" w:hAnsi="Times New Roman" w:cs="Times New Roman"/>
          <w:i/>
          <w:iCs/>
          <w:sz w:val="24"/>
          <w:szCs w:val="24"/>
        </w:rPr>
        <w:t>pas du tout agréable</w:t>
      </w:r>
      <w:r>
        <w:rPr>
          <w:rFonts w:ascii="Times New Roman" w:eastAsia="Times New Roman" w:hAnsi="Times New Roman" w:cs="Times New Roman"/>
          <w:sz w:val="24"/>
          <w:szCs w:val="24"/>
        </w:rPr>
        <w:t xml:space="preserve"> » d'être suivie, préférant désormais « </w:t>
      </w:r>
      <w:r>
        <w:rPr>
          <w:rFonts w:ascii="Times New Roman" w:eastAsia="Times New Roman" w:hAnsi="Times New Roman" w:cs="Times New Roman"/>
          <w:i/>
          <w:iCs/>
          <w:sz w:val="24"/>
          <w:szCs w:val="24"/>
        </w:rPr>
        <w:t xml:space="preserve">montrer le chemin mais ensemble </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perscript"/>
        </w:rPr>
        <w:footnoteReference w:id="42"/>
      </w:r>
      <w:r>
        <w:rPr>
          <w:rFonts w:ascii="Times New Roman" w:eastAsia="Times New Roman" w:hAnsi="Times New Roman" w:cs="Times New Roman"/>
          <w:sz w:val="24"/>
          <w:szCs w:val="24"/>
        </w:rPr>
        <w:t xml:space="preserve">. </w:t>
      </w:r>
    </w:p>
    <w:p w14:paraId="000000C8" w14:textId="77777777" w:rsidR="004E766C" w:rsidRDefault="004E766C">
      <w:pPr>
        <w:spacing w:line="240" w:lineRule="auto"/>
        <w:jc w:val="both"/>
        <w:rPr>
          <w:rFonts w:ascii="Times New Roman" w:eastAsia="Times New Roman" w:hAnsi="Times New Roman" w:cs="Times New Roman"/>
          <w:sz w:val="24"/>
          <w:szCs w:val="24"/>
        </w:rPr>
      </w:pPr>
    </w:p>
    <w:p w14:paraId="000000C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premier contact est souvent scellé par l’offre systématique d’une boisson, une pratique citée dans chacun de nos entretiens et observée sur place, devenue un pilier du protocole informel de la structure. Plus qu'une simple courtoisie, ce rituel du thé ou du café est vécu par les bénéficiaires comme un signe de reconnaissance et de chaleur humaine, il permet de valider leur consentement et de respecter le désir de la personne. Une bénéficiaire rapporte ainsi que dès l’arrivée, « on t’accueille, on te donne le thé, on te demande si tu veux ou pas », soulignant une attention immédiate qui tranche avec la « sécheresse » habituelle des institutions. L’accueil passe alors par une dimension affective, le sentiment d'être « </w:t>
      </w:r>
      <w:r>
        <w:rPr>
          <w:rFonts w:ascii="Times New Roman" w:eastAsia="Times New Roman" w:hAnsi="Times New Roman" w:cs="Times New Roman"/>
          <w:i/>
          <w:iCs/>
          <w:sz w:val="24"/>
          <w:szCs w:val="24"/>
        </w:rPr>
        <w:t>entourée</w:t>
      </w:r>
      <w:r>
        <w:rPr>
          <w:rFonts w:ascii="Times New Roman" w:eastAsia="Times New Roman" w:hAnsi="Times New Roman" w:cs="Times New Roman"/>
          <w:sz w:val="24"/>
          <w:szCs w:val="24"/>
        </w:rPr>
        <w:t xml:space="preserve"> » et mise « en </w:t>
      </w:r>
      <w:r>
        <w:rPr>
          <w:rFonts w:ascii="Times New Roman" w:eastAsia="Times New Roman" w:hAnsi="Times New Roman" w:cs="Times New Roman"/>
          <w:i/>
          <w:iCs/>
          <w:sz w:val="24"/>
          <w:szCs w:val="24"/>
        </w:rPr>
        <w:t>sécurité</w:t>
      </w:r>
      <w:r>
        <w:rPr>
          <w:rFonts w:ascii="Times New Roman" w:eastAsia="Times New Roman" w:hAnsi="Times New Roman" w:cs="Times New Roman"/>
          <w:sz w:val="24"/>
          <w:szCs w:val="24"/>
        </w:rPr>
        <w:t xml:space="preserve"> » dès le premier contact permet de transformer l'appréhension en confiance.</w:t>
      </w:r>
      <w:r>
        <w:rPr>
          <w:rFonts w:ascii="Times New Roman" w:eastAsia="Times New Roman" w:hAnsi="Times New Roman" w:cs="Times New Roman"/>
          <w:sz w:val="24"/>
          <w:szCs w:val="24"/>
          <w:vertAlign w:val="superscript"/>
        </w:rPr>
        <w:footnoteReference w:id="43"/>
      </w:r>
      <w:r>
        <w:rPr>
          <w:rFonts w:ascii="Times New Roman" w:eastAsia="Times New Roman" w:hAnsi="Times New Roman" w:cs="Times New Roman"/>
          <w:sz w:val="24"/>
          <w:szCs w:val="24"/>
        </w:rPr>
        <w:t xml:space="preserve"> </w:t>
      </w:r>
    </w:p>
    <w:p w14:paraId="000000CA" w14:textId="77777777" w:rsidR="004E766C" w:rsidRDefault="004E766C">
      <w:pPr>
        <w:spacing w:line="240" w:lineRule="auto"/>
        <w:jc w:val="both"/>
        <w:rPr>
          <w:rFonts w:ascii="Times New Roman" w:eastAsia="Times New Roman" w:hAnsi="Times New Roman" w:cs="Times New Roman"/>
          <w:sz w:val="24"/>
          <w:szCs w:val="24"/>
        </w:rPr>
      </w:pPr>
    </w:p>
    <w:p w14:paraId="000000C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Au-delà de l'accueil physique, la culture de l'hospitalité repose également sur une posture d'écoute active, d'empathie, et de considération dans la durée. Comme le souligne une professionnelle, « accueillir c’est aussi la façon dont on la prend (</w:t>
      </w:r>
      <w:r>
        <w:rPr>
          <w:rFonts w:ascii="Times New Roman" w:eastAsia="Times New Roman" w:hAnsi="Times New Roman" w:cs="Times New Roman"/>
          <w:i/>
          <w:iCs/>
          <w:sz w:val="24"/>
          <w:szCs w:val="24"/>
        </w:rPr>
        <w:t>la bénéficiaire</w:t>
      </w:r>
      <w:r>
        <w:rPr>
          <w:rFonts w:ascii="Times New Roman" w:eastAsia="Times New Roman" w:hAnsi="Times New Roman" w:cs="Times New Roman"/>
          <w:sz w:val="24"/>
          <w:szCs w:val="24"/>
        </w:rPr>
        <w:t>) en considération dans l’accompagnement ».</w:t>
      </w:r>
      <w:r>
        <w:rPr>
          <w:rFonts w:ascii="Times New Roman" w:eastAsia="Times New Roman" w:hAnsi="Times New Roman" w:cs="Times New Roman"/>
          <w:sz w:val="24"/>
          <w:szCs w:val="24"/>
          <w:vertAlign w:val="superscript"/>
        </w:rPr>
        <w:footnoteReference w:id="44"/>
      </w:r>
      <w:r>
        <w:rPr>
          <w:rFonts w:ascii="Times New Roman" w:eastAsia="Times New Roman" w:hAnsi="Times New Roman" w:cs="Times New Roman"/>
          <w:sz w:val="24"/>
          <w:szCs w:val="24"/>
        </w:rPr>
        <w:t xml:space="preserve"> Les professionnelles créent un cadre où les bénéficiaires se sentent entièrement écoutées et comprises : « </w:t>
      </w:r>
      <w:r>
        <w:rPr>
          <w:rFonts w:ascii="Times New Roman" w:eastAsia="Times New Roman" w:hAnsi="Times New Roman" w:cs="Times New Roman"/>
          <w:i/>
          <w:iCs/>
          <w:sz w:val="24"/>
          <w:szCs w:val="24"/>
        </w:rPr>
        <w:t>tu vois comment elle donne toute son attention sur toi… elle t’écoute.</w:t>
      </w:r>
      <w:r>
        <w:rPr>
          <w:rFonts w:ascii="Times New Roman" w:eastAsia="Times New Roman" w:hAnsi="Times New Roman" w:cs="Times New Roman"/>
          <w:sz w:val="24"/>
          <w:szCs w:val="24"/>
        </w:rPr>
        <w:t xml:space="preserve"> ». Cette attention totale, qui donne l'impression que l'intervenante « partage sa douleur », s'accompagne d'un respect rigoureux du rythme de la parole : les professionnelles ne forcent jamais le récit, transformant l'entretien médical ou juridique en un « échange » plutôt qu'en un « questionnaire ». Jessica* confirme que ce respect des limites, où la femme peut dire « </w:t>
      </w:r>
      <w:r>
        <w:rPr>
          <w:rFonts w:ascii="Times New Roman" w:eastAsia="Times New Roman" w:hAnsi="Times New Roman" w:cs="Times New Roman"/>
          <w:i/>
          <w:iCs/>
          <w:sz w:val="24"/>
          <w:szCs w:val="24"/>
        </w:rPr>
        <w:t>je ne veux plus en parler</w:t>
      </w:r>
      <w:r>
        <w:rPr>
          <w:rFonts w:ascii="Times New Roman" w:eastAsia="Times New Roman" w:hAnsi="Times New Roman" w:cs="Times New Roman"/>
          <w:sz w:val="24"/>
          <w:szCs w:val="24"/>
        </w:rPr>
        <w:t xml:space="preserve"> », est une composante essentielle </w:t>
      </w:r>
      <w:r>
        <w:rPr>
          <w:rFonts w:ascii="Times New Roman" w:eastAsia="Times New Roman" w:hAnsi="Times New Roman" w:cs="Times New Roman"/>
          <w:sz w:val="24"/>
          <w:szCs w:val="24"/>
        </w:rPr>
        <w:lastRenderedPageBreak/>
        <w:t xml:space="preserve">de la culture du lieu qui permet de «ne pas imposer ». Chaque bénéficiaire a la possibilité d’avancer à son </w:t>
      </w:r>
      <w:proofErr w:type="gramStart"/>
      <w:r>
        <w:rPr>
          <w:rFonts w:ascii="Times New Roman" w:eastAsia="Times New Roman" w:hAnsi="Times New Roman" w:cs="Times New Roman"/>
          <w:sz w:val="24"/>
          <w:szCs w:val="24"/>
        </w:rPr>
        <w:t>rythme  (</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si tu ne veux pas en parler, on ne te force pas</w:t>
      </w:r>
      <w:r>
        <w:rPr>
          <w:rFonts w:ascii="Times New Roman" w:eastAsia="Times New Roman" w:hAnsi="Times New Roman" w:cs="Times New Roman"/>
          <w:sz w:val="24"/>
          <w:szCs w:val="24"/>
        </w:rPr>
        <w:t xml:space="preserve"> ») </w:t>
      </w:r>
      <w:proofErr w:type="gramStart"/>
      <w:r>
        <w:rPr>
          <w:rFonts w:ascii="Times New Roman" w:eastAsia="Times New Roman" w:hAnsi="Times New Roman" w:cs="Times New Roman"/>
          <w:sz w:val="24"/>
          <w:szCs w:val="24"/>
        </w:rPr>
        <w:t>;  ainsi</w:t>
      </w:r>
      <w:proofErr w:type="gramEnd"/>
      <w:r>
        <w:rPr>
          <w:rFonts w:ascii="Times New Roman" w:eastAsia="Times New Roman" w:hAnsi="Times New Roman" w:cs="Times New Roman"/>
          <w:sz w:val="24"/>
          <w:szCs w:val="24"/>
        </w:rPr>
        <w:t xml:space="preserve"> l'équipe maintient un cadre qui permet à la femme de reprendre progressivement confiance en elle et de redevenir actrice de son parcours.</w:t>
      </w:r>
    </w:p>
    <w:p w14:paraId="000000CC" w14:textId="77777777" w:rsidR="004E766C" w:rsidRDefault="00000000">
      <w:pPr>
        <w:spacing w:before="240" w:after="24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Cette volonté de sécurisation se traduit désormais par la généralisation des premiers accueils en binôme, un dispositif conçu pour briser la confusion initiale et permettre aux femmes de mieux appréhender les ressources du lieu. Comme le souligne une professionnelle, ce premier rendez-vous d'une heure mené à deux voix est crucial « </w:t>
      </w:r>
      <w:r>
        <w:rPr>
          <w:rFonts w:ascii="Times New Roman" w:eastAsia="Times New Roman" w:hAnsi="Times New Roman" w:cs="Times New Roman"/>
          <w:i/>
          <w:iCs/>
          <w:sz w:val="24"/>
          <w:szCs w:val="24"/>
        </w:rPr>
        <w:t>pour bien qu’elles comprennent ce que c'est la Maison des Femmes déjà</w:t>
      </w:r>
      <w:r>
        <w:rPr>
          <w:rFonts w:ascii="Times New Roman" w:eastAsia="Times New Roman" w:hAnsi="Times New Roman" w:cs="Times New Roman"/>
          <w:sz w:val="24"/>
          <w:szCs w:val="24"/>
        </w:rPr>
        <w:t xml:space="preserve"> », s'assurant ainsi que le projet global est assimilé avant même le début du parcours de soin.</w:t>
      </w:r>
      <w:r>
        <w:rPr>
          <w:rFonts w:ascii="Times New Roman" w:eastAsia="Times New Roman" w:hAnsi="Times New Roman" w:cs="Times New Roman"/>
          <w:sz w:val="24"/>
          <w:szCs w:val="24"/>
          <w:vertAlign w:val="superscript"/>
        </w:rPr>
        <w:footnoteReference w:id="45"/>
      </w:r>
    </w:p>
    <w:p w14:paraId="000000CD"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culture partagée se développe aussi au travers de temps « informels ». Les ateliers (gym douce par exemple) et les déjeuners partagés, les brunchs, apparaissent dans l’ensemble des entretiens comme des espaces particulièrement importants de partage et de création de liens.  Perçus comme des activités légères logistiquement (« </w:t>
      </w:r>
      <w:r>
        <w:rPr>
          <w:rFonts w:ascii="Times New Roman" w:eastAsia="Times New Roman" w:hAnsi="Times New Roman" w:cs="Times New Roman"/>
          <w:i/>
          <w:iCs/>
          <w:sz w:val="24"/>
          <w:szCs w:val="24"/>
        </w:rPr>
        <w:t xml:space="preserve">c'est simple pour nous, c'est, enfin ça demande un peu d'organisation mais </w:t>
      </w:r>
      <w:proofErr w:type="gramStart"/>
      <w:r>
        <w:rPr>
          <w:rFonts w:ascii="Times New Roman" w:eastAsia="Times New Roman" w:hAnsi="Times New Roman" w:cs="Times New Roman"/>
          <w:i/>
          <w:iCs/>
          <w:sz w:val="24"/>
          <w:szCs w:val="24"/>
        </w:rPr>
        <w:t>c'est pas</w:t>
      </w:r>
      <w:proofErr w:type="gramEnd"/>
      <w:r>
        <w:rPr>
          <w:rFonts w:ascii="Times New Roman" w:eastAsia="Times New Roman" w:hAnsi="Times New Roman" w:cs="Times New Roman"/>
          <w:i/>
          <w:iCs/>
          <w:sz w:val="24"/>
          <w:szCs w:val="24"/>
        </w:rPr>
        <w:t xml:space="preserve"> ingérable </w:t>
      </w:r>
      <w:r>
        <w:rPr>
          <w:rFonts w:ascii="Times New Roman" w:eastAsia="Times New Roman" w:hAnsi="Times New Roman" w:cs="Times New Roman"/>
          <w:sz w:val="24"/>
          <w:szCs w:val="24"/>
        </w:rPr>
        <w:t>») ils produisent des effets thérapeutiques et sociaux majeurs.</w:t>
      </w:r>
      <w:r>
        <w:rPr>
          <w:rFonts w:ascii="Times New Roman" w:eastAsia="Times New Roman" w:hAnsi="Times New Roman" w:cs="Times New Roman"/>
          <w:sz w:val="24"/>
          <w:szCs w:val="24"/>
          <w:vertAlign w:val="superscript"/>
        </w:rPr>
        <w:footnoteReference w:id="46"/>
      </w:r>
      <w:r>
        <w:rPr>
          <w:rFonts w:ascii="Times New Roman" w:eastAsia="Times New Roman" w:hAnsi="Times New Roman" w:cs="Times New Roman"/>
          <w:sz w:val="24"/>
          <w:szCs w:val="24"/>
        </w:rPr>
        <w:t xml:space="preserve"> Les activités proposées offrent, en effet, l’opportunité aux bénéficiaires de rencontrer d’autres femmes dans des contextes où le ton reste volontairement léger. Pour </w:t>
      </w:r>
      <w:r>
        <w:rPr>
          <w:rFonts w:ascii="Times New Roman" w:eastAsia="Times New Roman" w:hAnsi="Times New Roman" w:cs="Times New Roman"/>
          <w:i/>
          <w:iCs/>
          <w:sz w:val="24"/>
          <w:szCs w:val="24"/>
        </w:rPr>
        <w:t>Jessica</w:t>
      </w:r>
      <w:r>
        <w:rPr>
          <w:rFonts w:ascii="Times New Roman" w:eastAsia="Times New Roman" w:hAnsi="Times New Roman" w:cs="Times New Roman"/>
          <w:i/>
          <w:iCs/>
          <w:sz w:val="24"/>
          <w:szCs w:val="24"/>
          <w:vertAlign w:val="superscript"/>
        </w:rPr>
        <w:footnoteReference w:id="47"/>
      </w:r>
      <w:r>
        <w:rPr>
          <w:rFonts w:ascii="Times New Roman" w:eastAsia="Times New Roman" w:hAnsi="Times New Roman" w:cs="Times New Roman"/>
          <w:sz w:val="24"/>
          <w:szCs w:val="24"/>
        </w:rPr>
        <w:t xml:space="preserve">, par exemple, participer </w:t>
      </w:r>
      <w:proofErr w:type="gramStart"/>
      <w:r>
        <w:rPr>
          <w:rFonts w:ascii="Times New Roman" w:eastAsia="Times New Roman" w:hAnsi="Times New Roman" w:cs="Times New Roman"/>
          <w:sz w:val="24"/>
          <w:szCs w:val="24"/>
        </w:rPr>
        <w:t>aux brunch</w:t>
      </w:r>
      <w:proofErr w:type="gramEnd"/>
      <w:r>
        <w:rPr>
          <w:rFonts w:ascii="Times New Roman" w:eastAsia="Times New Roman" w:hAnsi="Times New Roman" w:cs="Times New Roman"/>
          <w:sz w:val="24"/>
          <w:szCs w:val="24"/>
        </w:rPr>
        <w:t xml:space="preserve"> représente une véritable reconnexion sociale. En faisant des crêpes pour les autres, elle passe de « bénéficiaire de soin », </w:t>
      </w:r>
      <w:proofErr w:type="spellStart"/>
      <w:r>
        <w:rPr>
          <w:rFonts w:ascii="Times New Roman" w:eastAsia="Times New Roman" w:hAnsi="Times New Roman" w:cs="Times New Roman"/>
          <w:sz w:val="24"/>
          <w:szCs w:val="24"/>
        </w:rPr>
        <w:t>à</w:t>
      </w:r>
      <w:proofErr w:type="spellEnd"/>
      <w:r>
        <w:rPr>
          <w:rFonts w:ascii="Times New Roman" w:eastAsia="Times New Roman" w:hAnsi="Times New Roman" w:cs="Times New Roman"/>
          <w:sz w:val="24"/>
          <w:szCs w:val="24"/>
        </w:rPr>
        <w:t xml:space="preserve"> membre du collectif contribuant à la vie du lieu. Elle retrouve une place parmi les autres femmes : « </w:t>
      </w:r>
      <w:r>
        <w:rPr>
          <w:rFonts w:ascii="Times New Roman" w:eastAsia="Times New Roman" w:hAnsi="Times New Roman" w:cs="Times New Roman"/>
          <w:i/>
          <w:iCs/>
          <w:sz w:val="24"/>
          <w:szCs w:val="24"/>
        </w:rPr>
        <w:t>On a commencé à sympathiser, à rigoler</w:t>
      </w:r>
      <w:r>
        <w:rPr>
          <w:rFonts w:ascii="Times New Roman" w:eastAsia="Times New Roman" w:hAnsi="Times New Roman" w:cs="Times New Roman"/>
          <w:sz w:val="24"/>
          <w:szCs w:val="24"/>
        </w:rPr>
        <w:t xml:space="preserve"> ». L’hospitalité s’incarne ici dans cette liberté de contribuer, montrant que le refuge n'est pas seulement un lieu où l'on est protégée, mais un lieu où l'on réapprend à habiter le monde. Le lieu n'est plus perçu comme une administration, mais comme une « maison familiale » ou une « </w:t>
      </w:r>
      <w:r>
        <w:rPr>
          <w:rFonts w:ascii="Times New Roman" w:eastAsia="Times New Roman" w:hAnsi="Times New Roman" w:cs="Times New Roman"/>
          <w:i/>
          <w:iCs/>
          <w:sz w:val="24"/>
          <w:szCs w:val="24"/>
        </w:rPr>
        <w:t>deuxième famille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48"/>
      </w:r>
    </w:p>
    <w:p w14:paraId="000000CE"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L’importance de l’informalité ne concerne toutefois pas uniquement les bénéficiaires. Les professionnelles soulignent également combien ces moments sont précieux dans leurs propres relations de travail. Les échanges informels, lors de pauses café, dans les couloirs ou en dehors des temps formels, permettent de mieux se connaître, de comprendre les pratiques et les contraintes des autres métiers, et participent progressivement à la construction d’une culture professionnelle commune. Pour Carlotta </w:t>
      </w:r>
      <w:proofErr w:type="spellStart"/>
      <w:r>
        <w:rPr>
          <w:rFonts w:ascii="Times New Roman" w:eastAsia="Times New Roman" w:hAnsi="Times New Roman" w:cs="Times New Roman"/>
          <w:sz w:val="24"/>
          <w:szCs w:val="24"/>
        </w:rPr>
        <w:t>Bellin</w:t>
      </w:r>
      <w:proofErr w:type="spellEnd"/>
      <w:r>
        <w:rPr>
          <w:rFonts w:ascii="Times New Roman" w:eastAsia="Times New Roman" w:hAnsi="Times New Roman" w:cs="Times New Roman"/>
          <w:sz w:val="24"/>
          <w:szCs w:val="24"/>
        </w:rPr>
        <w:t xml:space="preserve">, éducatrice spécialisée au sein de la MDF, ces moments « hors cadre », qui restent encore trop rares selon elle, sont essentiels pour renforcer la culture commune. Ils permettent de mieux appréhender la spécificité des métiers de chacune et une coordination des pratiques.   </w:t>
      </w:r>
    </w:p>
    <w:p w14:paraId="000000CF"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Dans ce contexte, les réunions formelles sont des espaces centraux de travail collectif. Elles permettent de partager des informations concernant les situations des bénéficiaires et de mettre en commun les différentes analyses et réflexions. La pluridisciplinarité du travail au sein de la MDF est largement valorisée car elle enrichit les perspectives et favorise une évolution constante des pratiques. L’une des professionnelles souligne ainsi : « </w:t>
      </w:r>
      <w:r>
        <w:rPr>
          <w:rFonts w:ascii="Times New Roman" w:eastAsia="Times New Roman" w:hAnsi="Times New Roman" w:cs="Times New Roman"/>
          <w:i/>
          <w:iCs/>
          <w:sz w:val="24"/>
          <w:szCs w:val="24"/>
        </w:rPr>
        <w:t>c’est super qu’on ait des temps d’échange et qu’on puisse travailler et mettre toutes nos pensées ensemble pour le bien commun et pour les personnes qu’on accompagne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49"/>
      </w:r>
      <w:r>
        <w:rPr>
          <w:rFonts w:ascii="Times New Roman" w:eastAsia="Times New Roman" w:hAnsi="Times New Roman" w:cs="Times New Roman"/>
          <w:sz w:val="24"/>
          <w:szCs w:val="24"/>
        </w:rPr>
        <w:t xml:space="preserve"> Cette pluralité de regards est perçue comme une ressource. Les différences d’interprétation d’une même situation peuvent en effet </w:t>
      </w:r>
      <w:r>
        <w:rPr>
          <w:rFonts w:ascii="Times New Roman" w:eastAsia="Times New Roman" w:hAnsi="Times New Roman" w:cs="Times New Roman"/>
          <w:sz w:val="24"/>
          <w:szCs w:val="24"/>
        </w:rPr>
        <w:lastRenderedPageBreak/>
        <w:t>permettre d’affiner la compréhension des parcours des bénéficiaires. Ces lectures complémentaires contribuent à enrichir le diagnostic collectif et à adapter l’accompagnement proposé.</w:t>
      </w:r>
    </w:p>
    <w:p w14:paraId="000000D0"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outre, l’observation mutuelle des pratiques constitue également une source d’apprentissage importante pour les professionnelles. L’une d’elles explique ainsi chercher à s’inspirer de ses collègues : « </w:t>
      </w:r>
      <w:r>
        <w:rPr>
          <w:rFonts w:ascii="Times New Roman" w:eastAsia="Times New Roman" w:hAnsi="Times New Roman" w:cs="Times New Roman"/>
          <w:i/>
          <w:iCs/>
          <w:sz w:val="24"/>
          <w:szCs w:val="24"/>
        </w:rPr>
        <w:t>J’essaie de m’inspirer encore de comment elles accueillent les personnes</w:t>
      </w:r>
      <w:r>
        <w:rPr>
          <w:rFonts w:ascii="Times New Roman" w:eastAsia="Times New Roman" w:hAnsi="Times New Roman" w:cs="Times New Roman"/>
          <w:sz w:val="24"/>
          <w:szCs w:val="24"/>
        </w:rPr>
        <w:t xml:space="preserve"> ». Cette posture implique une forme d’humilité professionnelle, comme elle le précise : « </w:t>
      </w:r>
      <w:r>
        <w:rPr>
          <w:rFonts w:ascii="Times New Roman" w:eastAsia="Times New Roman" w:hAnsi="Times New Roman" w:cs="Times New Roman"/>
          <w:i/>
          <w:iCs/>
          <w:sz w:val="24"/>
          <w:szCs w:val="24"/>
        </w:rPr>
        <w:t>c’est important aussi d’être un peu humble et de se dire que ma manière de faire n’est pas forcément la meilleure</w:t>
      </w:r>
      <w:r>
        <w:rPr>
          <w:rFonts w:ascii="Times New Roman" w:eastAsia="Times New Roman" w:hAnsi="Times New Roman" w:cs="Times New Roman"/>
          <w:sz w:val="24"/>
          <w:szCs w:val="24"/>
        </w:rPr>
        <w:t xml:space="preserve"> ». Le fait d’observer différentes façons d’accueillir et d’accompagner les personnes permet ainsi d’enrichir progressivement ses propres pratiques : « </w:t>
      </w:r>
      <w:r>
        <w:rPr>
          <w:rFonts w:ascii="Times New Roman" w:eastAsia="Times New Roman" w:hAnsi="Times New Roman" w:cs="Times New Roman"/>
          <w:i/>
          <w:iCs/>
          <w:sz w:val="24"/>
          <w:szCs w:val="24"/>
        </w:rPr>
        <w:t>plus je vois des collègues accueillir, plus je m’en inspire</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footnoteReference w:id="50"/>
      </w:r>
    </w:p>
    <w:p w14:paraId="000000D1"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Enfin, si de nombreuses pratiques ont émergé de discussions informelles entre professionnelles, certains éléments ont ensuite été formalisés et actés lors des réunions d’équipe. Ces différents espaces, formels et informels, apparaissent ainsi comme complémentaires dans la construction collective des pratiques d’accompagnement.</w:t>
      </w:r>
    </w:p>
    <w:p w14:paraId="000000D2" w14:textId="77777777" w:rsidR="004E766C" w:rsidRDefault="00000000">
      <w:pPr>
        <w:pStyle w:val="Titre3"/>
        <w:numPr>
          <w:ilvl w:val="0"/>
          <w:numId w:val="27"/>
        </w:numPr>
        <w:spacing w:before="240" w:after="240"/>
      </w:pPr>
      <w:bookmarkStart w:id="51" w:name="_heading=h.ukigyhveag3g" w:colFirst="0" w:colLast="0"/>
      <w:bookmarkEnd w:id="51"/>
      <w:r>
        <w:t xml:space="preserve"> La maintenance de l’hospitalité, un travail en perpétuelle évolution </w:t>
      </w:r>
    </w:p>
    <w:p w14:paraId="000000D3"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Il ressort de nos échanges un élément essentiel de la culture partagée et des « bonnes pratiques » : leur constant dynamisme. Comme le souligne Gwenaëlle Ferré, militante féministe et cofondatrice du centre de santé communautaire et planétaire </w:t>
      </w:r>
      <w:r>
        <w:rPr>
          <w:rFonts w:ascii="Times New Roman" w:eastAsia="Times New Roman" w:hAnsi="Times New Roman" w:cs="Times New Roman"/>
          <w:i/>
          <w:iCs/>
          <w:sz w:val="24"/>
          <w:szCs w:val="24"/>
        </w:rPr>
        <w:t>Le Jardin</w:t>
      </w:r>
      <w:r>
        <w:rPr>
          <w:rFonts w:ascii="Times New Roman" w:eastAsia="Times New Roman" w:hAnsi="Times New Roman" w:cs="Times New Roman"/>
          <w:sz w:val="24"/>
          <w:szCs w:val="24"/>
        </w:rPr>
        <w:t xml:space="preserve">, l’hospitalité exige une souplesse et une adaptabilité constante. Elle représente ainsi un travail exigeant, souvent perçu comme « invisible » car niché dans les détails du quotidien des professionnelles, et nécessite un effort continu d’analyse de ses propres pratiques et postures. </w:t>
      </w:r>
    </w:p>
    <w:p w14:paraId="000000D4" w14:textId="77777777" w:rsidR="004E766C" w:rsidRDefault="004E766C">
      <w:pPr>
        <w:spacing w:line="240" w:lineRule="auto"/>
        <w:jc w:val="both"/>
        <w:rPr>
          <w:rFonts w:ascii="Times New Roman" w:eastAsia="Times New Roman" w:hAnsi="Times New Roman" w:cs="Times New Roman"/>
          <w:sz w:val="24"/>
          <w:szCs w:val="24"/>
        </w:rPr>
      </w:pPr>
    </w:p>
    <w:p w14:paraId="000000D5"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 cours de nos entretiens avec les professionnelles de la MDF, nous avons remarqué que cette forme d’auto-critique permet d’ajuster les pratiques en réaction aux réalités observées sur le terrain. La culture de l’hospitalité transparaît comme un apprentissage permanent : </w:t>
      </w:r>
      <w:r>
        <w:rPr>
          <w:rFonts w:ascii="Times New Roman" w:eastAsia="Times New Roman" w:hAnsi="Times New Roman" w:cs="Times New Roman"/>
          <w:i/>
          <w:iCs/>
          <w:sz w:val="24"/>
          <w:szCs w:val="24"/>
        </w:rPr>
        <w:t>« on apprend aussi tous les jours sur plein de domaines différents</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51"/>
      </w:r>
      <w:r>
        <w:rPr>
          <w:rFonts w:ascii="Times New Roman" w:eastAsia="Times New Roman" w:hAnsi="Times New Roman" w:cs="Times New Roman"/>
          <w:sz w:val="24"/>
          <w:szCs w:val="24"/>
        </w:rPr>
        <w:t xml:space="preserve"> Un exemple concret est le passage d’un premier accueil individuel à une généralisation des binômes pour les premiers rendez-vous. Ce changement structurel n'est pas une directive administrative, mais le fruit d'une réflexion sur les pratiques : l'équipe a identifié que recevoir une femme seule générait des « </w:t>
      </w:r>
      <w:r>
        <w:rPr>
          <w:rFonts w:ascii="Times New Roman" w:eastAsia="Times New Roman" w:hAnsi="Times New Roman" w:cs="Times New Roman"/>
          <w:i/>
          <w:iCs/>
          <w:sz w:val="24"/>
          <w:szCs w:val="24"/>
        </w:rPr>
        <w:t>loupés</w:t>
      </w:r>
      <w:r>
        <w:rPr>
          <w:rFonts w:ascii="Times New Roman" w:eastAsia="Times New Roman" w:hAnsi="Times New Roman" w:cs="Times New Roman"/>
          <w:sz w:val="24"/>
          <w:szCs w:val="24"/>
        </w:rPr>
        <w:t xml:space="preserve"> » </w:t>
      </w:r>
      <w:r>
        <w:rPr>
          <w:rFonts w:ascii="Times New Roman" w:eastAsia="Times New Roman" w:hAnsi="Times New Roman" w:cs="Times New Roman"/>
          <w:sz w:val="24"/>
          <w:szCs w:val="24"/>
          <w:vertAlign w:val="superscript"/>
        </w:rPr>
        <w:footnoteReference w:id="52"/>
      </w:r>
      <w:r>
        <w:rPr>
          <w:rFonts w:ascii="Times New Roman" w:eastAsia="Times New Roman" w:hAnsi="Times New Roman" w:cs="Times New Roman"/>
          <w:sz w:val="24"/>
          <w:szCs w:val="24"/>
        </w:rPr>
        <w:t xml:space="preserve">dans l'évaluation de la complexité des parcours. </w:t>
      </w:r>
    </w:p>
    <w:p w14:paraId="000000D6" w14:textId="77777777" w:rsidR="004E766C" w:rsidRDefault="004E766C">
      <w:pPr>
        <w:spacing w:line="240" w:lineRule="auto"/>
        <w:jc w:val="both"/>
        <w:rPr>
          <w:rFonts w:ascii="Times New Roman" w:eastAsia="Times New Roman" w:hAnsi="Times New Roman" w:cs="Times New Roman"/>
          <w:sz w:val="24"/>
          <w:szCs w:val="24"/>
        </w:rPr>
      </w:pPr>
    </w:p>
    <w:p w14:paraId="000000D7"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la capacité de l’équipe à « </w:t>
      </w:r>
      <w:r>
        <w:rPr>
          <w:rFonts w:ascii="Times New Roman" w:eastAsia="Times New Roman" w:hAnsi="Times New Roman" w:cs="Times New Roman"/>
          <w:i/>
          <w:iCs/>
          <w:sz w:val="24"/>
          <w:szCs w:val="24"/>
        </w:rPr>
        <w:t>tirer la sonnette d’alarme</w:t>
      </w:r>
      <w:r>
        <w:rPr>
          <w:rFonts w:ascii="Times New Roman" w:eastAsia="Times New Roman" w:hAnsi="Times New Roman" w:cs="Times New Roman"/>
          <w:sz w:val="24"/>
          <w:szCs w:val="24"/>
        </w:rPr>
        <w:t> »</w:t>
      </w:r>
      <w:r>
        <w:rPr>
          <w:rFonts w:ascii="Times New Roman" w:eastAsia="Times New Roman" w:hAnsi="Times New Roman" w:cs="Times New Roman"/>
          <w:sz w:val="24"/>
          <w:szCs w:val="24"/>
          <w:vertAlign w:val="superscript"/>
        </w:rPr>
        <w:footnoteReference w:id="53"/>
      </w:r>
      <w:r>
        <w:rPr>
          <w:rFonts w:ascii="Times New Roman" w:eastAsia="Times New Roman" w:hAnsi="Times New Roman" w:cs="Times New Roman"/>
          <w:sz w:val="24"/>
          <w:szCs w:val="24"/>
        </w:rPr>
        <w:t xml:space="preserve"> est un levier majeur de régulation. Une juriste souligne notamment comment, face à sa surcharge de travail, la MDF a recruté une seconde juriste. Un deuxième exemple concret est la suspension temporaire des nouveaux rendez-vous via formulaire d’adressage lors des périodes de flux trop important. La maintenance de l'hospitalité passe donc par la protection de la qualité du soin, c’est un équilibre fragile qui nécessite de savoir dire </w:t>
      </w:r>
      <w:r>
        <w:rPr>
          <w:rFonts w:ascii="Times New Roman" w:eastAsia="Times New Roman" w:hAnsi="Times New Roman" w:cs="Times New Roman"/>
          <w:i/>
          <w:iCs/>
          <w:sz w:val="24"/>
          <w:szCs w:val="24"/>
        </w:rPr>
        <w:t>stop</w:t>
      </w:r>
      <w:r>
        <w:rPr>
          <w:rFonts w:ascii="Times New Roman" w:eastAsia="Times New Roman" w:hAnsi="Times New Roman" w:cs="Times New Roman"/>
          <w:sz w:val="24"/>
          <w:szCs w:val="24"/>
        </w:rPr>
        <w:t xml:space="preserve">, quitte à réguler le nombre d'entrées pour éviter l'épuisement professionnel. Un élément que nous aborderons dans un troisième temps de l’analyse empirique. </w:t>
      </w:r>
    </w:p>
    <w:p w14:paraId="000000D8" w14:textId="77777777" w:rsidR="004E766C" w:rsidRDefault="004E766C">
      <w:pPr>
        <w:spacing w:line="240" w:lineRule="auto"/>
        <w:jc w:val="both"/>
        <w:rPr>
          <w:rFonts w:ascii="Times New Roman" w:eastAsia="Times New Roman" w:hAnsi="Times New Roman" w:cs="Times New Roman"/>
          <w:sz w:val="24"/>
          <w:szCs w:val="24"/>
        </w:rPr>
      </w:pPr>
    </w:p>
    <w:p w14:paraId="000000D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À cela s'ajoutent les formations, qui interviennent comme des piliers essentiels de réflexion collective et de culture commune. Elles constituent des moments particulièrement riches car elles offrent des temps de partage de connaissances et d’apprentissage mutuels. Au sein de la MDF, ces sessions sont nombreuses et visent des enjeux spécifiques, notamment l’accueil des personnes en situation de handicap ou des personnes transgenres. Pour Gwenaëlle Ferré, cette montée en compétence est ce qui garantit une démarche réellement inclusive : l’hospitalité est un travail collectif, nourri par une auto-analyse régulière et partagée. </w:t>
      </w:r>
    </w:p>
    <w:p w14:paraId="000000DA" w14:textId="77777777" w:rsidR="004E766C" w:rsidRDefault="004E766C">
      <w:pPr>
        <w:spacing w:line="240" w:lineRule="auto"/>
        <w:jc w:val="both"/>
        <w:rPr>
          <w:rFonts w:ascii="Times New Roman" w:eastAsia="Times New Roman" w:hAnsi="Times New Roman" w:cs="Times New Roman"/>
          <w:sz w:val="24"/>
          <w:szCs w:val="24"/>
        </w:rPr>
      </w:pPr>
    </w:p>
    <w:p w14:paraId="000000D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la construction d’une culture partagée s’inscrit donc nécessairement dans le temps long, comme le souligne une professionnelle : </w:t>
      </w:r>
      <w:r>
        <w:rPr>
          <w:rFonts w:ascii="Times New Roman" w:eastAsia="Times New Roman" w:hAnsi="Times New Roman" w:cs="Times New Roman"/>
          <w:i/>
          <w:iCs/>
          <w:sz w:val="24"/>
          <w:szCs w:val="24"/>
        </w:rPr>
        <w:t>« La culture commune, elle se crée au fur et à mesure et on ne peut pas l'imposer aux professionnels. Et je trouve que là, ça fonctionne bien. Au fur et à mesure, plus on avance, plus on prend un peu des cultures des uns des autre</w:t>
      </w:r>
      <w:r>
        <w:rPr>
          <w:rFonts w:ascii="Times New Roman" w:eastAsia="Times New Roman" w:hAnsi="Times New Roman" w:cs="Times New Roman"/>
          <w:sz w:val="24"/>
          <w:szCs w:val="24"/>
        </w:rPr>
        <w:t>s. »</w:t>
      </w:r>
      <w:r>
        <w:rPr>
          <w:rFonts w:ascii="Times New Roman" w:eastAsia="Times New Roman" w:hAnsi="Times New Roman" w:cs="Times New Roman"/>
          <w:sz w:val="24"/>
          <w:szCs w:val="24"/>
          <w:vertAlign w:val="superscript"/>
        </w:rPr>
        <w:footnoteReference w:id="54"/>
      </w:r>
      <w:r>
        <w:rPr>
          <w:rFonts w:ascii="Times New Roman" w:eastAsia="Times New Roman" w:hAnsi="Times New Roman" w:cs="Times New Roman"/>
          <w:sz w:val="24"/>
          <w:szCs w:val="24"/>
        </w:rPr>
        <w:t xml:space="preserve">  L’hospitalité à la MDF est une pratique vivante et le moteur même de la culture partagée par l’équipe. C’est en pratiquant ensemble, en questionnant collectivement, et en nourrissant la réflexion par la formation que les professionnelles forgent une vision commune et donc une culture partagée.  </w:t>
      </w:r>
    </w:p>
    <w:p w14:paraId="000000DC" w14:textId="77777777" w:rsidR="004E766C" w:rsidRDefault="004E766C">
      <w:pPr>
        <w:pStyle w:val="Titre3"/>
        <w:ind w:firstLine="0"/>
      </w:pPr>
      <w:bookmarkStart w:id="52" w:name="_heading=h.uu8nf36n1a0s" w:colFirst="0" w:colLast="0"/>
      <w:bookmarkEnd w:id="52"/>
    </w:p>
    <w:p w14:paraId="000000DD" w14:textId="77777777" w:rsidR="004E766C" w:rsidRDefault="00000000">
      <w:pPr>
        <w:pStyle w:val="Titre3"/>
        <w:numPr>
          <w:ilvl w:val="0"/>
          <w:numId w:val="27"/>
        </w:numPr>
      </w:pPr>
      <w:bookmarkStart w:id="53" w:name="_heading=h.6llyzma9pn59" w:colFirst="0" w:colLast="0"/>
      <w:bookmarkEnd w:id="53"/>
      <w:r>
        <w:t xml:space="preserve"> Les épreuves du réel : tensions et « angles morts » de l'hospitalité</w:t>
      </w:r>
    </w:p>
    <w:p w14:paraId="000000DE" w14:textId="77777777" w:rsidR="004E766C" w:rsidRDefault="004E766C"/>
    <w:p w14:paraId="000000DF"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est question dans cette partie d’interroger les éventuelles tensions et « angles morts » des bonnes pratiques et de la culture partagée. Cette analyse vise à souligner les difficultés qui se posent à la construction d’une culture commune ancrée et vivante. Il existe au sein de la MDF une base de valeurs communes de l’hospitalité et de l’accueil comme en témoignent les pratiques des professionnelles et les entretiens que nous avons eus avec elles.  Cette analyse est toutefois à nuancer, en effet, nos constats s'appuient sur les témoignages des professionnelles du corps juridique et social, le corps médical n’ayant pas pu être sollicité pour échanger sur leurs expériences.</w:t>
      </w:r>
    </w:p>
    <w:p w14:paraId="000000E0" w14:textId="77777777" w:rsidR="004E766C" w:rsidRDefault="004E766C">
      <w:pPr>
        <w:spacing w:line="240" w:lineRule="auto"/>
        <w:ind w:firstLine="720"/>
        <w:jc w:val="both"/>
        <w:rPr>
          <w:rFonts w:ascii="Times New Roman" w:eastAsia="Times New Roman" w:hAnsi="Times New Roman" w:cs="Times New Roman"/>
          <w:sz w:val="24"/>
          <w:szCs w:val="24"/>
        </w:rPr>
      </w:pPr>
    </w:p>
    <w:p w14:paraId="000000E1" w14:textId="77777777" w:rsidR="004E766C"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L’hospitalité est une pratique de longue durée qui requiert une continuité et se construit par la répétition. Il s’agit donc de consolider et d’infuser cette culture partagée, or celle-ci semble se heurter à un défi. Dans les limites structurelles évoquées par les professionnelles, le temps partiel apparaît comme un frein à la synchronisation des pratiques et à l’entente collective. Il ne s’agit pas seulement d’une question d’horaires mais aussi d’une question de coprésence permettant la circulation de savoirs informels, essentiels pour faire d’une règle « froide » (la procédure) une culture vivante et partagée. Cloé </w:t>
      </w:r>
      <w:proofErr w:type="spellStart"/>
      <w:r>
        <w:rPr>
          <w:rFonts w:ascii="Times New Roman" w:eastAsia="Times New Roman" w:hAnsi="Times New Roman" w:cs="Times New Roman"/>
          <w:sz w:val="24"/>
          <w:szCs w:val="24"/>
        </w:rPr>
        <w:t>Tassara</w:t>
      </w:r>
      <w:proofErr w:type="spellEnd"/>
      <w:r>
        <w:rPr>
          <w:rFonts w:ascii="Times New Roman" w:eastAsia="Times New Roman" w:hAnsi="Times New Roman" w:cs="Times New Roman"/>
          <w:sz w:val="24"/>
          <w:szCs w:val="24"/>
        </w:rPr>
        <w:t xml:space="preserve"> souligne que certaines professionnelles (comme les psychologues) sont à temps partiel mais présentes presque tous les jours (par demi-journées), ce qui donne une impression de « </w:t>
      </w:r>
      <w:r>
        <w:rPr>
          <w:rFonts w:ascii="Times New Roman" w:eastAsia="Times New Roman" w:hAnsi="Times New Roman" w:cs="Times New Roman"/>
          <w:i/>
          <w:iCs/>
          <w:sz w:val="24"/>
          <w:szCs w:val="24"/>
        </w:rPr>
        <w:t>temps plein</w:t>
      </w:r>
      <w:r>
        <w:rPr>
          <w:rFonts w:ascii="Times New Roman" w:eastAsia="Times New Roman" w:hAnsi="Times New Roman" w:cs="Times New Roman"/>
          <w:sz w:val="24"/>
          <w:szCs w:val="24"/>
        </w:rPr>
        <w:t xml:space="preserve"> » et favorise les échanges quotidiens. Elle précise que la culture commune dépend aussi de la volonté de « </w:t>
      </w:r>
      <w:r>
        <w:rPr>
          <w:rFonts w:ascii="Times New Roman" w:eastAsia="Times New Roman" w:hAnsi="Times New Roman" w:cs="Times New Roman"/>
          <w:i/>
          <w:iCs/>
          <w:sz w:val="24"/>
          <w:szCs w:val="24"/>
        </w:rPr>
        <w:t>prendre le temps</w:t>
      </w:r>
      <w:r>
        <w:rPr>
          <w:rFonts w:ascii="Times New Roman" w:eastAsia="Times New Roman" w:hAnsi="Times New Roman" w:cs="Times New Roman"/>
          <w:sz w:val="24"/>
          <w:szCs w:val="24"/>
        </w:rPr>
        <w:t xml:space="preserve"> », par exemple en choisissant de déjeuner ensemble plutôt que de rester dans son propre service. Il ressort alors de nos entretiens que ce n’est pas le nombre d’heures qui fait obstacle, mais la répartition des temps de présence qui permet, ou non, de créer des rituels informels comme les repas.</w:t>
      </w:r>
    </w:p>
    <w:p w14:paraId="000000E2" w14:textId="77777777" w:rsidR="004E766C" w:rsidRDefault="004E766C">
      <w:pPr>
        <w:spacing w:line="240" w:lineRule="auto"/>
        <w:jc w:val="both"/>
        <w:rPr>
          <w:rFonts w:ascii="Times New Roman" w:eastAsia="Times New Roman" w:hAnsi="Times New Roman" w:cs="Times New Roman"/>
          <w:sz w:val="24"/>
          <w:szCs w:val="24"/>
        </w:rPr>
      </w:pPr>
    </w:p>
    <w:p w14:paraId="000000E3" w14:textId="77777777" w:rsidR="004E766C"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Au-delà de cette synchronisation des agendas, un second défi apparaît : celui des cultures des métiers. Les domaines médical, judiciaire et social travaillent dans des temporalités et objectifs différents, ce qui peut par moments créer des points de tension. Le corps médical, et particulièrement les médecins légistes, s’inscrivent dans une</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temporalité</w:t>
      </w:r>
      <w:proofErr w:type="gramEnd"/>
      <w:r>
        <w:rPr>
          <w:rFonts w:ascii="Times New Roman" w:eastAsia="Times New Roman" w:hAnsi="Times New Roman" w:cs="Times New Roman"/>
          <w:i/>
          <w:iCs/>
          <w:sz w:val="24"/>
          <w:szCs w:val="24"/>
        </w:rPr>
        <w:t xml:space="preserve"> très courte, celle du constat et de la preuve </w:t>
      </w:r>
      <w:proofErr w:type="gramStart"/>
      <w:r>
        <w:rPr>
          <w:rFonts w:ascii="Times New Roman" w:eastAsia="Times New Roman" w:hAnsi="Times New Roman" w:cs="Times New Roman"/>
          <w:i/>
          <w:iCs/>
          <w:sz w:val="24"/>
          <w:szCs w:val="24"/>
        </w:rPr>
        <w:t>immédiate»</w:t>
      </w:r>
      <w:proofErr w:type="gramEnd"/>
      <w:r>
        <w:rPr>
          <w:rFonts w:ascii="Times New Roman" w:eastAsia="Times New Roman" w:hAnsi="Times New Roman" w:cs="Times New Roman"/>
          <w:sz w:val="24"/>
          <w:szCs w:val="24"/>
        </w:rPr>
        <w:t>, le travail social s'inscrit à l'inverse dans le</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temps</w:t>
      </w:r>
      <w:proofErr w:type="gramEnd"/>
      <w:r>
        <w:rPr>
          <w:rFonts w:ascii="Times New Roman" w:eastAsia="Times New Roman" w:hAnsi="Times New Roman" w:cs="Times New Roman"/>
          <w:i/>
          <w:iCs/>
          <w:sz w:val="24"/>
          <w:szCs w:val="24"/>
        </w:rPr>
        <w:t xml:space="preserve"> long, </w:t>
      </w:r>
      <w:r>
        <w:rPr>
          <w:rFonts w:ascii="Times New Roman" w:eastAsia="Times New Roman" w:hAnsi="Times New Roman" w:cs="Times New Roman"/>
          <w:i/>
          <w:iCs/>
          <w:sz w:val="24"/>
          <w:szCs w:val="24"/>
        </w:rPr>
        <w:lastRenderedPageBreak/>
        <w:t xml:space="preserve">celui du cheminement de la </w:t>
      </w:r>
      <w:proofErr w:type="gramStart"/>
      <w:r>
        <w:rPr>
          <w:rFonts w:ascii="Times New Roman" w:eastAsia="Times New Roman" w:hAnsi="Times New Roman" w:cs="Times New Roman"/>
          <w:i/>
          <w:iCs/>
          <w:sz w:val="24"/>
          <w:szCs w:val="24"/>
        </w:rPr>
        <w:t>femme»</w:t>
      </w:r>
      <w:proofErr w:type="gramEnd"/>
      <w:r>
        <w:rPr>
          <w:rFonts w:ascii="Times New Roman" w:eastAsia="Times New Roman" w:hAnsi="Times New Roman" w:cs="Times New Roman"/>
          <w:i/>
          <w:iCs/>
          <w:sz w:val="24"/>
          <w:szCs w:val="24"/>
        </w:rPr>
        <w:t xml:space="preserve"> </w:t>
      </w:r>
      <w:r>
        <w:rPr>
          <w:rFonts w:ascii="Times New Roman" w:eastAsia="Times New Roman" w:hAnsi="Times New Roman" w:cs="Times New Roman"/>
          <w:b/>
          <w:bCs/>
          <w:sz w:val="24"/>
          <w:szCs w:val="24"/>
          <w:vertAlign w:val="superscript"/>
        </w:rPr>
        <w:footnoteReference w:id="55"/>
      </w:r>
      <w:r>
        <w:rPr>
          <w:rFonts w:ascii="Times New Roman" w:eastAsia="Times New Roman" w:hAnsi="Times New Roman" w:cs="Times New Roman"/>
          <w:sz w:val="24"/>
          <w:szCs w:val="24"/>
        </w:rPr>
        <w:t>. De plus, le rôle des légistes est de produire un document officiel pour la justice, alors que l’accompagnement social/juridique de la MDF privilégie la temporalité de la bénéficiaire (parfois en lui conseillant de ne pas tout dire tout de suite si cela peut lui nuire)</w:t>
      </w:r>
      <w:r>
        <w:rPr>
          <w:rFonts w:ascii="Times New Roman" w:eastAsia="Times New Roman" w:hAnsi="Times New Roman" w:cs="Times New Roman"/>
          <w:sz w:val="24"/>
          <w:szCs w:val="24"/>
          <w:vertAlign w:val="superscript"/>
        </w:rPr>
        <w:footnoteReference w:id="56"/>
      </w:r>
      <w:r>
        <w:rPr>
          <w:rFonts w:ascii="Times New Roman" w:eastAsia="Times New Roman" w:hAnsi="Times New Roman" w:cs="Times New Roman"/>
          <w:sz w:val="24"/>
          <w:szCs w:val="24"/>
        </w:rPr>
        <w:t xml:space="preserve">. Une professionnelle du volet social souligne : « </w:t>
      </w:r>
      <w:r>
        <w:rPr>
          <w:rFonts w:ascii="Times New Roman" w:eastAsia="Times New Roman" w:hAnsi="Times New Roman" w:cs="Times New Roman"/>
          <w:i/>
          <w:iCs/>
          <w:sz w:val="24"/>
          <w:szCs w:val="24"/>
        </w:rPr>
        <w:t>dans le travail social, on n’est pas du tout dans l’idée</w:t>
      </w:r>
      <w:proofErr w:type="gramStart"/>
      <w:r>
        <w:rPr>
          <w:rFonts w:ascii="Times New Roman" w:eastAsia="Times New Roman" w:hAnsi="Times New Roman" w:cs="Times New Roman"/>
          <w:i/>
          <w:iCs/>
          <w:sz w:val="24"/>
          <w:szCs w:val="24"/>
        </w:rPr>
        <w:t xml:space="preserve"> «d'efficacité»  au</w:t>
      </w:r>
      <w:proofErr w:type="gramEnd"/>
      <w:r>
        <w:rPr>
          <w:rFonts w:ascii="Times New Roman" w:eastAsia="Times New Roman" w:hAnsi="Times New Roman" w:cs="Times New Roman"/>
          <w:i/>
          <w:iCs/>
          <w:sz w:val="24"/>
          <w:szCs w:val="24"/>
        </w:rPr>
        <w:t xml:space="preserve"> sens hospitalier »</w:t>
      </w:r>
      <w:r>
        <w:rPr>
          <w:rFonts w:ascii="Times New Roman" w:eastAsia="Times New Roman" w:hAnsi="Times New Roman" w:cs="Times New Roman"/>
          <w:i/>
          <w:iCs/>
          <w:sz w:val="24"/>
          <w:szCs w:val="24"/>
          <w:vertAlign w:val="superscript"/>
        </w:rPr>
        <w:footnoteReference w:id="57"/>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L'institution judiciaire attend une efficacité et une clarté immédiates, or l'accompagnement social doit parfois ralentir le processus pour respecter le rythme de la bénéficiaire.</w:t>
      </w:r>
    </w:p>
    <w:p w14:paraId="000000E4"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frictions entre différentes missions institutionnelles ne sont toutefois pas des</w:t>
      </w:r>
      <w:proofErr w:type="gramStart"/>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«désaccords</w:t>
      </w:r>
      <w:proofErr w:type="gramEnd"/>
      <w:r>
        <w:rPr>
          <w:rFonts w:ascii="Times New Roman" w:eastAsia="Times New Roman" w:hAnsi="Times New Roman" w:cs="Times New Roman"/>
          <w:i/>
          <w:iCs/>
          <w:sz w:val="24"/>
          <w:szCs w:val="24"/>
        </w:rPr>
        <w:t>»</w:t>
      </w:r>
      <w:r>
        <w:rPr>
          <w:rFonts w:ascii="Times New Roman" w:eastAsia="Times New Roman" w:hAnsi="Times New Roman" w:cs="Times New Roman"/>
          <w:i/>
          <w:iCs/>
          <w:sz w:val="24"/>
          <w:szCs w:val="24"/>
          <w:vertAlign w:val="superscript"/>
        </w:rPr>
        <w:footnoteReference w:id="58"/>
      </w:r>
      <w:r>
        <w:rPr>
          <w:rFonts w:ascii="Times New Roman" w:eastAsia="Times New Roman" w:hAnsi="Times New Roman" w:cs="Times New Roman"/>
          <w:i/>
          <w:iCs/>
          <w:sz w:val="24"/>
          <w:szCs w:val="24"/>
        </w:rPr>
        <w:t xml:space="preserve"> </w:t>
      </w:r>
      <w:r>
        <w:rPr>
          <w:rFonts w:ascii="Times New Roman" w:eastAsia="Times New Roman" w:hAnsi="Times New Roman" w:cs="Times New Roman"/>
          <w:sz w:val="24"/>
          <w:szCs w:val="24"/>
        </w:rPr>
        <w:t xml:space="preserve">selon les professionnelles et permettent un accompagnement enrichi d’une pluralité d’analyses. </w:t>
      </w:r>
    </w:p>
    <w:p w14:paraId="000000E5"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culture commune se construit entre plusieurs mondes professionnels, plutôt que de chercher à lisser les pratiques pour les rendre uniformes, la direction semble privilégier une culture commune où la spécificité de chaque métier est préservée. Le défi n'est donc pas d'effacer ces différences de temporalités, mais de les rendre intelligibles pour toutes les professionnelles afin qu'elles ne deviennent pas des sources d'incompréhension.</w:t>
      </w:r>
    </w:p>
    <w:p w14:paraId="000000E6" w14:textId="77777777" w:rsidR="004E766C" w:rsidRDefault="004E766C">
      <w:pPr>
        <w:spacing w:line="240" w:lineRule="auto"/>
        <w:jc w:val="both"/>
        <w:rPr>
          <w:rFonts w:ascii="Times New Roman" w:eastAsia="Times New Roman" w:hAnsi="Times New Roman" w:cs="Times New Roman"/>
          <w:sz w:val="24"/>
          <w:szCs w:val="24"/>
        </w:rPr>
      </w:pPr>
    </w:p>
    <w:p w14:paraId="000000E7"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freins ne sont pas ignorés de la direction ou des professionnelles, ils constituent le défi quotidien des équipes dans la volonté d’ancrer cette base partagée de pratiques : «</w:t>
      </w:r>
      <w:r>
        <w:rPr>
          <w:rFonts w:ascii="Times New Roman" w:eastAsia="Times New Roman" w:hAnsi="Times New Roman" w:cs="Times New Roman"/>
          <w:i/>
          <w:iCs/>
          <w:sz w:val="24"/>
          <w:szCs w:val="24"/>
        </w:rPr>
        <w:t> il y a une volonté de la part de la direction de créer cette culture commune qui est difficile à créer en raison du temps partiel, en raison de nos origines différentes [de travail] : HCL, social…ça se crée, c'est un peu lent, mais moi je trouve qu'on dans l'ensemble on fonctionne bien </w:t>
      </w:r>
      <w:proofErr w:type="gramStart"/>
      <w:r>
        <w:rPr>
          <w:rFonts w:ascii="Times New Roman" w:eastAsia="Times New Roman" w:hAnsi="Times New Roman" w:cs="Times New Roman"/>
          <w:i/>
          <w:iCs/>
          <w:sz w:val="24"/>
          <w:szCs w:val="24"/>
        </w:rPr>
        <w:t>» .</w:t>
      </w:r>
      <w:proofErr w:type="gramEnd"/>
      <w:r>
        <w:rPr>
          <w:rFonts w:ascii="Times New Roman" w:eastAsia="Times New Roman" w:hAnsi="Times New Roman" w:cs="Times New Roman"/>
          <w:i/>
          <w:iCs/>
          <w:sz w:val="24"/>
          <w:szCs w:val="24"/>
          <w:vertAlign w:val="superscript"/>
        </w:rPr>
        <w:footnoteReference w:id="59"/>
      </w:r>
    </w:p>
    <w:p w14:paraId="000000E8" w14:textId="77777777" w:rsidR="004E766C" w:rsidRDefault="004E766C">
      <w:pPr>
        <w:spacing w:line="240" w:lineRule="auto"/>
        <w:jc w:val="both"/>
        <w:rPr>
          <w:rFonts w:ascii="Times New Roman" w:eastAsia="Times New Roman" w:hAnsi="Times New Roman" w:cs="Times New Roman"/>
          <w:i/>
          <w:iCs/>
          <w:sz w:val="24"/>
          <w:szCs w:val="24"/>
        </w:rPr>
      </w:pPr>
    </w:p>
    <w:p w14:paraId="000000E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L’hospitalité à la MDF est une pratique vivante et le moteur même de la culture partagée par l’équipe. C’est en pratiquant ensemble, en questionnant collectivement et en nourrissant la réflexion par la formation que les professionnelles forgent une vision commune.</w:t>
      </w:r>
    </w:p>
    <w:p w14:paraId="000000EA" w14:textId="77777777" w:rsidR="004E766C" w:rsidRDefault="004E766C">
      <w:pPr>
        <w:spacing w:line="240" w:lineRule="auto"/>
        <w:jc w:val="both"/>
        <w:rPr>
          <w:rFonts w:ascii="Times New Roman" w:eastAsia="Times New Roman" w:hAnsi="Times New Roman" w:cs="Times New Roman"/>
          <w:sz w:val="24"/>
          <w:szCs w:val="24"/>
        </w:rPr>
      </w:pPr>
    </w:p>
    <w:p w14:paraId="000000E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travail invisible de maintenance de l'hospitalité vise à répondre à un paradoxe fondateur : le fait que les lieux hospitaliers soient, dans l'expérience des victimes, fort souvent inhospitaliers comme nous avons pu l’évoquer lors de notre état de l’art. C'est pour rompre avec cette austérité que la Maison des Femmes investit une autre dimension : celle de la matérialité et de l'habiter. Si l’hospitalité se développe en partie à travers les pratiques spécifiques des professionnelles, elle s’inscrit aussi implicitement à travers la matérialité du lieu. En effet, l'agencement, l’organisation de l’espace et les interactions y prenant place participent activement à faire de ce lieu un espace sécurisant, accueillant et convivial pour les femmes qui le fréquentent. Ces spécificités matérielles sont propices à l’appropriation du lieu par les bénéficiaires et tendent ainsi à construire un « lieu-refuge » pour les victimes de violences. </w:t>
      </w:r>
    </w:p>
    <w:p w14:paraId="000000EC" w14:textId="77777777" w:rsidR="004E766C" w:rsidRDefault="004E766C">
      <w:pPr>
        <w:spacing w:line="240" w:lineRule="auto"/>
        <w:jc w:val="both"/>
        <w:rPr>
          <w:rFonts w:ascii="Times New Roman" w:eastAsia="Times New Roman" w:hAnsi="Times New Roman" w:cs="Times New Roman"/>
          <w:sz w:val="24"/>
          <w:szCs w:val="24"/>
        </w:rPr>
      </w:pPr>
    </w:p>
    <w:p w14:paraId="000000ED" w14:textId="77777777" w:rsidR="004E766C" w:rsidRDefault="004E766C">
      <w:pPr>
        <w:spacing w:line="240" w:lineRule="auto"/>
        <w:jc w:val="both"/>
        <w:rPr>
          <w:rFonts w:ascii="Times New Roman" w:eastAsia="Times New Roman" w:hAnsi="Times New Roman" w:cs="Times New Roman"/>
          <w:sz w:val="24"/>
          <w:szCs w:val="24"/>
        </w:rPr>
      </w:pPr>
    </w:p>
    <w:p w14:paraId="000000EE" w14:textId="77777777" w:rsidR="004E766C" w:rsidRDefault="004E766C">
      <w:pPr>
        <w:pStyle w:val="Titre2"/>
        <w:rPr>
          <w:color w:val="000000"/>
        </w:rPr>
      </w:pPr>
      <w:bookmarkStart w:id="54" w:name="_heading=h.4sxvqr9btwp7" w:colFirst="0" w:colLast="0"/>
      <w:bookmarkEnd w:id="54"/>
    </w:p>
    <w:p w14:paraId="000000EF" w14:textId="77777777" w:rsidR="004E766C" w:rsidRDefault="004E766C"/>
    <w:p w14:paraId="000000F0" w14:textId="77777777" w:rsidR="004E766C" w:rsidRDefault="004E766C"/>
    <w:p w14:paraId="000000F1" w14:textId="77777777" w:rsidR="004E766C" w:rsidRDefault="00000000">
      <w:pPr>
        <w:pStyle w:val="Titre2"/>
      </w:pPr>
      <w:bookmarkStart w:id="55" w:name="_heading=h.pqhde6ppfm4" w:colFirst="0" w:colLast="0"/>
      <w:bookmarkEnd w:id="55"/>
      <w:r>
        <w:rPr>
          <w:color w:val="000000"/>
          <w:u w:val="none"/>
        </w:rPr>
        <w:lastRenderedPageBreak/>
        <w:t xml:space="preserve">II. </w:t>
      </w:r>
      <w:r>
        <w:rPr>
          <w:color w:val="000000"/>
        </w:rPr>
        <w:t xml:space="preserve">« Habiter » la Maison des Femmes : une hospitalité qui prend soin par le décor, le lien et le collectif </w:t>
      </w:r>
    </w:p>
    <w:p w14:paraId="000000F2" w14:textId="77777777" w:rsidR="004E766C" w:rsidRDefault="004E766C">
      <w:pPr>
        <w:ind w:left="720"/>
      </w:pPr>
    </w:p>
    <w:p w14:paraId="000000F3" w14:textId="77777777" w:rsidR="004E766C" w:rsidRDefault="00000000">
      <w:pPr>
        <w:pStyle w:val="Titre3"/>
        <w:numPr>
          <w:ilvl w:val="0"/>
          <w:numId w:val="35"/>
        </w:numPr>
      </w:pPr>
      <w:bookmarkStart w:id="56" w:name="_heading=h.o4a1xbbv6570" w:colFirst="0" w:colLast="0"/>
      <w:bookmarkEnd w:id="56"/>
      <w:r>
        <w:t>L’hospitalité à la Maison des Femmes : entre cadre matériel et expérience sensible de l’hospitalité</w:t>
      </w:r>
    </w:p>
    <w:p w14:paraId="000000F4" w14:textId="77777777" w:rsidR="004E766C" w:rsidRDefault="00000000">
      <w:pPr>
        <w:pStyle w:val="Titre4"/>
        <w:ind w:left="0"/>
        <w:rPr>
          <w:b/>
          <w:bCs/>
        </w:rPr>
      </w:pPr>
      <w:bookmarkStart w:id="57" w:name="_heading=h.1sy4n6bnrfkh" w:colFirst="0" w:colLast="0"/>
      <w:bookmarkEnd w:id="57"/>
      <w:proofErr w:type="gramStart"/>
      <w:r>
        <w:rPr>
          <w:i w:val="0"/>
          <w:iCs w:val="0"/>
          <w:color w:val="000000"/>
        </w:rPr>
        <w:t>𜰀</w:t>
      </w:r>
      <w:proofErr w:type="gramEnd"/>
      <w:r>
        <w:rPr>
          <w:i w:val="0"/>
          <w:iCs w:val="0"/>
          <w:color w:val="000000"/>
        </w:rPr>
        <w:t xml:space="preserve"> La Maison des Femmes comme refuge matériel : un espace pensé pour accueillir et apaiser</w:t>
      </w:r>
    </w:p>
    <w:p w14:paraId="000000F5" w14:textId="77777777" w:rsidR="004E766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À la Maison des Femmes, l’hospitalité se révèle à travers l’environnement physique du lieu. De nombreux éléments participent à rendre le lieu agréable, chaleureux et accueillant : couleurs douces et apaisantes sur les murs, une jolie décoration, des dessins artistiques aux murs, la présence de livres, de jeux pour enfants, de </w:t>
      </w:r>
      <w:proofErr w:type="gramStart"/>
      <w:r>
        <w:rPr>
          <w:rFonts w:ascii="Times New Roman" w:eastAsia="Times New Roman" w:hAnsi="Times New Roman" w:cs="Times New Roman"/>
          <w:sz w:val="24"/>
          <w:szCs w:val="24"/>
        </w:rPr>
        <w:t>coloriages,  des</w:t>
      </w:r>
      <w:proofErr w:type="gramEnd"/>
      <w:r>
        <w:rPr>
          <w:rFonts w:ascii="Times New Roman" w:eastAsia="Times New Roman" w:hAnsi="Times New Roman" w:cs="Times New Roman"/>
          <w:sz w:val="24"/>
          <w:szCs w:val="24"/>
        </w:rPr>
        <w:t xml:space="preserve"> pièces lumineuses, des coins pour s’isoler, la possibilité de boire un café ou un thé, des espaces particulièrement propres et entretenus. L’esthétique et le confort transparaissent à la Maison des Femmes, comme en témoignent la présence de canapés au </w:t>
      </w:r>
      <w:r>
        <w:rPr>
          <w:rFonts w:ascii="Times New Roman" w:eastAsia="Times New Roman" w:hAnsi="Times New Roman" w:cs="Times New Roman"/>
          <w:i/>
          <w:iCs/>
          <w:sz w:val="24"/>
          <w:szCs w:val="24"/>
        </w:rPr>
        <w:t>design</w:t>
      </w:r>
      <w:r>
        <w:rPr>
          <w:rFonts w:ascii="Times New Roman" w:eastAsia="Times New Roman" w:hAnsi="Times New Roman" w:cs="Times New Roman"/>
          <w:sz w:val="24"/>
          <w:szCs w:val="24"/>
        </w:rPr>
        <w:t xml:space="preserve"> ergonomique. Cet ensemble, incarnant l’aspect matériel de l’hospitalité, vise à créer un espace accueillant et qui peut être approprié par les bénéficiaires de la Maison des Femmes.</w:t>
      </w:r>
      <w:r>
        <w:rPr>
          <w:rFonts w:ascii="Times New Roman" w:eastAsia="Times New Roman" w:hAnsi="Times New Roman" w:cs="Times New Roman"/>
          <w:sz w:val="24"/>
          <w:szCs w:val="24"/>
          <w:vertAlign w:val="superscript"/>
        </w:rPr>
        <w:footnoteReference w:id="60"/>
      </w:r>
    </w:p>
    <w:p w14:paraId="000000F6" w14:textId="77777777" w:rsidR="004E766C" w:rsidRDefault="004E766C">
      <w:pPr>
        <w:ind w:firstLine="360"/>
        <w:jc w:val="both"/>
        <w:rPr>
          <w:rFonts w:ascii="Times New Roman" w:eastAsia="Times New Roman" w:hAnsi="Times New Roman" w:cs="Times New Roman"/>
          <w:sz w:val="24"/>
          <w:szCs w:val="24"/>
        </w:rPr>
      </w:pPr>
    </w:p>
    <w:p w14:paraId="000000F7"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matérialité du lieu souhaite ainsi rompre avec l’image austère et</w:t>
      </w:r>
      <w:proofErr w:type="gramStart"/>
      <w:r>
        <w:rPr>
          <w:rFonts w:ascii="Times New Roman" w:eastAsia="Times New Roman" w:hAnsi="Times New Roman" w:cs="Times New Roman"/>
          <w:sz w:val="24"/>
          <w:szCs w:val="24"/>
        </w:rPr>
        <w:t xml:space="preserve"> «anxiogène</w:t>
      </w:r>
      <w:proofErr w:type="gramEnd"/>
      <w:r>
        <w:rPr>
          <w:rFonts w:ascii="Times New Roman" w:eastAsia="Times New Roman" w:hAnsi="Times New Roman" w:cs="Times New Roman"/>
          <w:sz w:val="24"/>
          <w:szCs w:val="24"/>
        </w:rPr>
        <w:t xml:space="preserve">» de l’hôpital et vise ainsi à créer un lieu où « le beau » a malgré tout une place. La décoration, l’agencement et l’organisation du lieu sont une autre manière de « prendre soin » des personnes accueillies. </w:t>
      </w:r>
    </w:p>
    <w:p w14:paraId="000000F8" w14:textId="77777777" w:rsidR="004E766C" w:rsidRDefault="004E766C">
      <w:pPr>
        <w:ind w:firstLine="720"/>
        <w:jc w:val="both"/>
        <w:rPr>
          <w:rFonts w:ascii="Times New Roman" w:eastAsia="Times New Roman" w:hAnsi="Times New Roman" w:cs="Times New Roman"/>
          <w:sz w:val="24"/>
          <w:szCs w:val="24"/>
        </w:rPr>
      </w:pPr>
    </w:p>
    <w:p w14:paraId="000000F9"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lieux sont particulièrement appréciés par les bénéficiaires de la Maison des Femmes. </w:t>
      </w:r>
      <w:r>
        <w:rPr>
          <w:rFonts w:ascii="Times New Roman" w:eastAsia="Times New Roman" w:hAnsi="Times New Roman" w:cs="Times New Roman"/>
          <w:b/>
          <w:bCs/>
          <w:i/>
          <w:iCs/>
          <w:sz w:val="24"/>
          <w:szCs w:val="24"/>
        </w:rPr>
        <w:t>Alison</w:t>
      </w:r>
      <w:r>
        <w:rPr>
          <w:rFonts w:ascii="Times New Roman" w:eastAsia="Times New Roman" w:hAnsi="Times New Roman" w:cs="Times New Roman"/>
          <w:sz w:val="24"/>
          <w:szCs w:val="24"/>
        </w:rPr>
        <w:t xml:space="preserve">, ex-bénéficiaire de la MDF, mentionne apprécier particulièrement la grande salle de réunion, qu’elle décrit comme lumineuse, aérée et accueillante. Elle confirme que le lieu est particulièrement propre et bien entretenu et suggère tout de même quelques pistes d’amélioration concernant la mobilisation de l’espace. Elle propose la création d’une bibliothèque permettant aux femmes de lire pendant le temps d’attente, et, un espace dédié au bien-être, avec la possibilité de bénéficier de soins esthétiques comme des massages. Ces derniers peuvent jouer un rôle bénéfique dans le processus de reconstruction de certaines femmes. Esthéticienne de métier, </w:t>
      </w:r>
      <w:r>
        <w:rPr>
          <w:rFonts w:ascii="Times New Roman" w:eastAsia="Times New Roman" w:hAnsi="Times New Roman" w:cs="Times New Roman"/>
          <w:b/>
          <w:bCs/>
          <w:i/>
          <w:iCs/>
          <w:sz w:val="24"/>
          <w:szCs w:val="24"/>
        </w:rPr>
        <w:t xml:space="preserve">Alison </w:t>
      </w:r>
      <w:r>
        <w:rPr>
          <w:rFonts w:ascii="Times New Roman" w:eastAsia="Times New Roman" w:hAnsi="Times New Roman" w:cs="Times New Roman"/>
          <w:sz w:val="24"/>
          <w:szCs w:val="24"/>
        </w:rPr>
        <w:t>propose sa contribution à ce genre d’activités, dans l’objectif de prendre soin des femmes ayant vécu des histoires similaires à la sienne, mais surtout, afin de contribuer à « faire vivre » la Maison des Femmes</w:t>
      </w:r>
      <w:r>
        <w:rPr>
          <w:rFonts w:ascii="Times New Roman" w:eastAsia="Times New Roman" w:hAnsi="Times New Roman" w:cs="Times New Roman"/>
          <w:sz w:val="24"/>
          <w:szCs w:val="24"/>
          <w:vertAlign w:val="superscript"/>
        </w:rPr>
        <w:footnoteReference w:id="61"/>
      </w:r>
      <w:r>
        <w:rPr>
          <w:rFonts w:ascii="Times New Roman" w:eastAsia="Times New Roman" w:hAnsi="Times New Roman" w:cs="Times New Roman"/>
          <w:sz w:val="24"/>
          <w:szCs w:val="24"/>
        </w:rPr>
        <w:t xml:space="preserve">.  </w:t>
      </w:r>
      <w:r>
        <w:rPr>
          <w:rFonts w:ascii="Times New Roman" w:eastAsia="Times New Roman" w:hAnsi="Times New Roman" w:cs="Times New Roman"/>
          <w:b/>
          <w:bCs/>
          <w:i/>
          <w:iCs/>
          <w:sz w:val="24"/>
          <w:szCs w:val="24"/>
        </w:rPr>
        <w:t>Jessica</w:t>
      </w:r>
      <w:r>
        <w:rPr>
          <w:rFonts w:ascii="Times New Roman" w:eastAsia="Times New Roman" w:hAnsi="Times New Roman" w:cs="Times New Roman"/>
          <w:sz w:val="24"/>
          <w:szCs w:val="24"/>
        </w:rPr>
        <w:t>, quant à elle, ex-bénéficiaire également, a été surprise lors de sa première venue à la Maison des femmes par le caractère hybride du lieu, en tant que structure hospitalière et associative. Néanmoins, elle juge très appréciable que le lieu soit positionné relativement à l’écart de l’hôpital Édouard Herriot. Jessica souligne l'importance de l’esthétique du lieu, la décoration choisie étant particulièrement appréciable et qui contribue fortement à son sentiment de sécurité au sein de la MDF.</w:t>
      </w:r>
      <w:r>
        <w:rPr>
          <w:rFonts w:ascii="Times New Roman" w:eastAsia="Times New Roman" w:hAnsi="Times New Roman" w:cs="Times New Roman"/>
          <w:sz w:val="24"/>
          <w:szCs w:val="24"/>
          <w:vertAlign w:val="superscript"/>
        </w:rPr>
        <w:footnoteReference w:id="62"/>
      </w:r>
    </w:p>
    <w:p w14:paraId="000000FA" w14:textId="77777777" w:rsidR="004E766C" w:rsidRDefault="004E766C">
      <w:pPr>
        <w:spacing w:line="240" w:lineRule="auto"/>
        <w:jc w:val="both"/>
        <w:rPr>
          <w:rFonts w:ascii="Times New Roman" w:eastAsia="Times New Roman" w:hAnsi="Times New Roman" w:cs="Times New Roman"/>
          <w:sz w:val="24"/>
          <w:szCs w:val="24"/>
        </w:rPr>
      </w:pPr>
    </w:p>
    <w:p w14:paraId="000000FB" w14:textId="77777777" w:rsidR="004E766C" w:rsidRDefault="00000000">
      <w:pPr>
        <w:pStyle w:val="Titre3"/>
        <w:numPr>
          <w:ilvl w:val="0"/>
          <w:numId w:val="35"/>
        </w:numPr>
      </w:pPr>
      <w:bookmarkStart w:id="58" w:name="_heading=h.20p8vj2698i2" w:colFirst="0" w:colLast="0"/>
      <w:bookmarkEnd w:id="58"/>
      <w:r>
        <w:lastRenderedPageBreak/>
        <w:t>La Maison des Femmes, un lieu hybride :  entre institution de soin et lieu de vie</w:t>
      </w:r>
    </w:p>
    <w:p w14:paraId="000000FC" w14:textId="77777777" w:rsidR="004E766C" w:rsidRDefault="00000000">
      <w:pPr>
        <w:pStyle w:val="Titre4"/>
        <w:ind w:left="0"/>
      </w:pPr>
      <w:bookmarkStart w:id="59" w:name="_heading=h.w8adnno4yo14" w:colFirst="0" w:colLast="0"/>
      <w:bookmarkEnd w:id="59"/>
      <w:proofErr w:type="gramStart"/>
      <w:r>
        <w:rPr>
          <w:i w:val="0"/>
          <w:iCs w:val="0"/>
          <w:color w:val="000000"/>
        </w:rPr>
        <w:t>𜰀</w:t>
      </w:r>
      <w:proofErr w:type="gramEnd"/>
      <w:r>
        <w:rPr>
          <w:i w:val="0"/>
          <w:iCs w:val="0"/>
          <w:color w:val="000000"/>
        </w:rPr>
        <w:t xml:space="preserve"> Faire vivre le lieu : activités collectives, convivialité et soutien entre femmes</w:t>
      </w:r>
    </w:p>
    <w:p w14:paraId="000000FD" w14:textId="77777777" w:rsidR="004E766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lieu de la Maison des Femmes ne suffit pas à créer un véritable « lieu refuge » et un espace pouvant être approprié par les personnes qui y sont accueillies. Pour qu’un lieu soit réellement habité et qu’il offre un cadre sécurisant et chaleureux, il ne suffit pas de l’aménager comme un espace agréable (couleurs douces, coins pour s’isoler, lectures, espaces lumineux…). Pour l’habiter, il est essentiel de le faire vivre. Florent </w:t>
      </w:r>
      <w:proofErr w:type="spellStart"/>
      <w:r>
        <w:rPr>
          <w:rFonts w:ascii="Times New Roman" w:eastAsia="Times New Roman" w:hAnsi="Times New Roman" w:cs="Times New Roman"/>
          <w:sz w:val="24"/>
          <w:szCs w:val="24"/>
        </w:rPr>
        <w:t>Otello</w:t>
      </w:r>
      <w:proofErr w:type="spellEnd"/>
      <w:r>
        <w:rPr>
          <w:rFonts w:ascii="Times New Roman" w:eastAsia="Times New Roman" w:hAnsi="Times New Roman" w:cs="Times New Roman"/>
          <w:sz w:val="24"/>
          <w:szCs w:val="24"/>
        </w:rPr>
        <w:t xml:space="preserve">, chercheur, artiste et chef de projets au sein de LALCA (laboratoire indépendant de recherche et de création sur la ville et l’habiter), souligne à ce titre, l’importance de faire évoluer les temporalités d’un lieu, afin qu’il se transforme et s’adapte à ceux qui l’occupent. À la Maison des Femmes, cette pluralité temporelle du lieu s’articule autour de moments collectifs - ateliers artistiques, rencontres, échanges informels - et des temps du suivi médical, plus formels. Le lieu incarne ainsi l’hybridité qui est la sienne, à la fois un espace de soin et un espace de vie quotidienne.  </w:t>
      </w:r>
    </w:p>
    <w:p w14:paraId="000000FE"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0FF"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entretiens réalisés auprès des professionnelles comme des bénéficiaires témoignent de l’importance des moments collectifs à la Maison des Femmes : ateliers collectifs, brunchs de sororité, repas partagés, groupes de parole, toucher relationnel avec l’association </w:t>
      </w:r>
      <w:r>
        <w:rPr>
          <w:rFonts w:ascii="Times New Roman" w:eastAsia="Times New Roman" w:hAnsi="Times New Roman" w:cs="Times New Roman"/>
          <w:i/>
          <w:iCs/>
          <w:sz w:val="24"/>
          <w:szCs w:val="24"/>
        </w:rPr>
        <w:t>2Mains de femmes,</w:t>
      </w:r>
      <w:r>
        <w:rPr>
          <w:rFonts w:ascii="Times New Roman" w:eastAsia="Times New Roman" w:hAnsi="Times New Roman" w:cs="Times New Roman"/>
          <w:sz w:val="24"/>
          <w:szCs w:val="24"/>
        </w:rPr>
        <w:t xml:space="preserve"> cours de gym douce, ateliers de médiation artistique (écriture, collage, photographie, etc.), etc., L’art, qu’il s’agisse de pratiques d’art plastique ou théâtrales, constitue un outil privilégié permettant de « prendre soin » autrement et de matérialiser certains traumatismes, hors du cadre médical.</w:t>
      </w:r>
      <w:r>
        <w:rPr>
          <w:rFonts w:ascii="Times New Roman" w:eastAsia="Times New Roman" w:hAnsi="Times New Roman" w:cs="Times New Roman"/>
          <w:sz w:val="24"/>
          <w:szCs w:val="24"/>
          <w:vertAlign w:val="superscript"/>
        </w:rPr>
        <w:footnoteReference w:id="63"/>
      </w:r>
      <w:r>
        <w:rPr>
          <w:rFonts w:ascii="Times New Roman" w:eastAsia="Times New Roman" w:hAnsi="Times New Roman" w:cs="Times New Roman"/>
          <w:sz w:val="24"/>
          <w:szCs w:val="24"/>
        </w:rPr>
        <w:t xml:space="preserve"> La présence d’œuvres créées par les femmes participe à la décoration du lieu, et favorise leur appropriation progressive de l’espace. Ces activités permettent une prise en charge des violences faites aux femmes de manière pluridisciplinaire. </w:t>
      </w:r>
    </w:p>
    <w:p w14:paraId="00000100" w14:textId="77777777" w:rsidR="004E766C" w:rsidRDefault="004E766C">
      <w:pPr>
        <w:jc w:val="both"/>
        <w:rPr>
          <w:rFonts w:ascii="Times New Roman" w:eastAsia="Times New Roman" w:hAnsi="Times New Roman" w:cs="Times New Roman"/>
          <w:sz w:val="24"/>
          <w:szCs w:val="24"/>
        </w:rPr>
      </w:pPr>
    </w:p>
    <w:p w14:paraId="00000101"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Ces temps collectifs ont un rôle à jouer dans le processus de reconstruction des femmes victimes de violences : ils permettent de partager des expériences similaires entre bénéficiaires, de rompre avec la solitude et de créer des liens de solidarité entre femmes. Ils bénéficient également aux professionnelles, en laissant se développer un espace d’échanges informels avec les bénéficiaires.</w:t>
      </w:r>
      <w:r>
        <w:rPr>
          <w:rFonts w:ascii="Times New Roman" w:eastAsia="Times New Roman" w:hAnsi="Times New Roman" w:cs="Times New Roman"/>
          <w:sz w:val="24"/>
          <w:szCs w:val="24"/>
          <w:vertAlign w:val="superscript"/>
        </w:rPr>
        <w:footnoteReference w:id="64"/>
      </w:r>
      <w:r>
        <w:rPr>
          <w:rFonts w:ascii="Times New Roman" w:eastAsia="Times New Roman" w:hAnsi="Times New Roman" w:cs="Times New Roman"/>
          <w:sz w:val="24"/>
          <w:szCs w:val="24"/>
        </w:rPr>
        <w:t xml:space="preserve"> Ces échanges informels sont primordiaux car ils inspirent la confiance et font vivre l’hospitalité au sein du lieu. Les interactions informelles favorisent surtout l’instauration d’une relation horizontale entre bénéficiaires et professionnelles, et renforcent l’atmosphère chaleureuse, conviviale et sereine du lieu, comme si chaque bénéficiaire se sentait chez elle. Gwenaëlle Ferré, militante féministe et cofondatrice du centre de santé communautaire et planétaire </w:t>
      </w:r>
      <w:r>
        <w:rPr>
          <w:rFonts w:ascii="Times New Roman" w:eastAsia="Times New Roman" w:hAnsi="Times New Roman" w:cs="Times New Roman"/>
          <w:i/>
          <w:iCs/>
          <w:sz w:val="24"/>
          <w:szCs w:val="24"/>
        </w:rPr>
        <w:t>Le Jardin</w:t>
      </w:r>
      <w:r>
        <w:rPr>
          <w:rFonts w:ascii="Times New Roman" w:eastAsia="Times New Roman" w:hAnsi="Times New Roman" w:cs="Times New Roman"/>
          <w:sz w:val="24"/>
          <w:szCs w:val="24"/>
        </w:rPr>
        <w:t xml:space="preserve"> de Bron, invite à pratiquer le tutoiement libre lors de ces ateliers collectifs afin de fluidifier la spontanéité de ces échanges informels.</w:t>
      </w:r>
      <w:r>
        <w:rPr>
          <w:rFonts w:ascii="Times New Roman" w:eastAsia="Times New Roman" w:hAnsi="Times New Roman" w:cs="Times New Roman"/>
          <w:sz w:val="24"/>
          <w:szCs w:val="24"/>
          <w:vertAlign w:val="superscript"/>
        </w:rPr>
        <w:footnoteReference w:id="65"/>
      </w:r>
    </w:p>
    <w:p w14:paraId="00000102" w14:textId="77777777" w:rsidR="004E766C" w:rsidRDefault="004E766C">
      <w:pPr>
        <w:ind w:firstLine="720"/>
        <w:jc w:val="both"/>
        <w:rPr>
          <w:rFonts w:ascii="Times New Roman" w:eastAsia="Times New Roman" w:hAnsi="Times New Roman" w:cs="Times New Roman"/>
          <w:sz w:val="24"/>
          <w:szCs w:val="24"/>
        </w:rPr>
      </w:pPr>
    </w:p>
    <w:p w14:paraId="00000103"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 livre de propositions est présent en salle d’attente afin que les femmes bénéficiaires puissent y déposer un mot, faire part de leurs besoins concernant le lieu et proposer des pistes d’amélioration à la Maison des Femmes. L’ensemble de ces propositions écrites formulées par </w:t>
      </w:r>
      <w:r>
        <w:rPr>
          <w:rFonts w:ascii="Times New Roman" w:eastAsia="Times New Roman" w:hAnsi="Times New Roman" w:cs="Times New Roman"/>
          <w:sz w:val="24"/>
          <w:szCs w:val="24"/>
        </w:rPr>
        <w:lastRenderedPageBreak/>
        <w:t xml:space="preserve">les bénéficiaires au sein de ce livre de propositions converge autour d’une volonté commune : multiplier les moments collectifs avec d’autres bénéficiaires et professionnelles de la Maison des Femmes. Certaines femmes proposent par ailleurs de nouvelles formes </w:t>
      </w:r>
      <w:proofErr w:type="gramStart"/>
      <w:r>
        <w:rPr>
          <w:rFonts w:ascii="Times New Roman" w:eastAsia="Times New Roman" w:hAnsi="Times New Roman" w:cs="Times New Roman"/>
          <w:sz w:val="24"/>
          <w:szCs w:val="24"/>
        </w:rPr>
        <w:t>de  rassemblements</w:t>
      </w:r>
      <w:proofErr w:type="gramEnd"/>
      <w:r>
        <w:rPr>
          <w:rFonts w:ascii="Times New Roman" w:eastAsia="Times New Roman" w:hAnsi="Times New Roman" w:cs="Times New Roman"/>
          <w:sz w:val="24"/>
          <w:szCs w:val="24"/>
        </w:rPr>
        <w:t xml:space="preserve"> tels que des ateliers de cuisine et des cercles de parole sur la coparentalité après séparation et la parentalité solo. De fait, ces activités collectives sont particulièrement appréciées par les bénéficiaires et les professionnelles de la MDF et constituent ainsi des moments précieux de partage, participant au dynamisme du lieu.</w:t>
      </w:r>
      <w:r>
        <w:rPr>
          <w:rFonts w:ascii="Times New Roman" w:eastAsia="Times New Roman" w:hAnsi="Times New Roman" w:cs="Times New Roman"/>
          <w:sz w:val="24"/>
          <w:szCs w:val="24"/>
          <w:vertAlign w:val="superscript"/>
        </w:rPr>
        <w:footnoteReference w:id="66"/>
      </w:r>
    </w:p>
    <w:p w14:paraId="00000104" w14:textId="77777777" w:rsidR="004E766C" w:rsidRDefault="00000000">
      <w:pPr>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05"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activités collectives permettent à la Maison des Femmes d’incarner pleinement sa polyvalence, en tant qu’espace institutionnel de prise en charge pluridisciplinaire (juridique, médicale, sociale, psychologique) des femmes victimes de violences, et comme un véritable « lieu de vie », convivial et accueillant. À la Maison des Femmes, le lieu est ainsi pensé comme </w:t>
      </w:r>
    </w:p>
    <w:p w14:paraId="00000106" w14:textId="77777777" w:rsidR="004E766C" w:rsidRDefault="00000000">
      <w:pPr>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un</w:t>
      </w:r>
      <w:proofErr w:type="gramEnd"/>
      <w:r>
        <w:rPr>
          <w:rFonts w:ascii="Times New Roman" w:eastAsia="Times New Roman" w:hAnsi="Times New Roman" w:cs="Times New Roman"/>
          <w:sz w:val="24"/>
          <w:szCs w:val="24"/>
        </w:rPr>
        <w:t xml:space="preserve"> refuge en tant que véritable espace mental, soit un lieu intérieur où il est possible de penser, de respirer, de partager et de “rêver à nouveau”. La Maison des Femmes vise à incarner ce double refuge, aussi bien matériel que psychique.</w:t>
      </w:r>
      <w:r>
        <w:rPr>
          <w:rFonts w:ascii="Times New Roman" w:eastAsia="Times New Roman" w:hAnsi="Times New Roman" w:cs="Times New Roman"/>
          <w:sz w:val="24"/>
          <w:szCs w:val="24"/>
          <w:vertAlign w:val="superscript"/>
        </w:rPr>
        <w:footnoteReference w:id="67"/>
      </w:r>
    </w:p>
    <w:p w14:paraId="00000107" w14:textId="77777777" w:rsidR="004E766C" w:rsidRDefault="00000000">
      <w:pPr>
        <w:pStyle w:val="Titre4"/>
        <w:ind w:left="0"/>
      </w:pPr>
      <w:bookmarkStart w:id="60" w:name="_heading=h.sg8nl48cvwu" w:colFirst="0" w:colLast="0"/>
      <w:bookmarkEnd w:id="60"/>
      <w:proofErr w:type="gramStart"/>
      <w:r>
        <w:rPr>
          <w:i w:val="0"/>
          <w:iCs w:val="0"/>
          <w:color w:val="000000"/>
        </w:rPr>
        <w:t>𜰀</w:t>
      </w:r>
      <w:proofErr w:type="gramEnd"/>
      <w:r>
        <w:rPr>
          <w:i w:val="0"/>
          <w:iCs w:val="0"/>
          <w:color w:val="000000"/>
        </w:rPr>
        <w:t xml:space="preserve"> Les tensions d’un lieu pluriel : entre cadre médical et espace refuge</w:t>
      </w:r>
    </w:p>
    <w:p w14:paraId="00000108" w14:textId="77777777" w:rsidR="004E766C" w:rsidRDefault="00000000">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Certaines limites apparaissent toutefois dans les observations.</w:t>
      </w:r>
      <w:r>
        <w:rPr>
          <w:rFonts w:ascii="Times New Roman" w:eastAsia="Times New Roman" w:hAnsi="Times New Roman" w:cs="Times New Roman"/>
          <w:sz w:val="24"/>
          <w:szCs w:val="24"/>
          <w:vertAlign w:val="superscript"/>
        </w:rPr>
        <w:footnoteReference w:id="68"/>
      </w:r>
      <w:r>
        <w:rPr>
          <w:rFonts w:ascii="Times New Roman" w:eastAsia="Times New Roman" w:hAnsi="Times New Roman" w:cs="Times New Roman"/>
          <w:sz w:val="24"/>
          <w:szCs w:val="24"/>
        </w:rPr>
        <w:t xml:space="preserve"> </w:t>
      </w:r>
    </w:p>
    <w:p w14:paraId="00000109" w14:textId="77777777" w:rsidR="004E766C" w:rsidRDefault="004E766C">
      <w:pPr>
        <w:jc w:val="both"/>
        <w:rPr>
          <w:rFonts w:ascii="Times New Roman" w:eastAsia="Times New Roman" w:hAnsi="Times New Roman" w:cs="Times New Roman"/>
          <w:sz w:val="24"/>
          <w:szCs w:val="24"/>
        </w:rPr>
      </w:pPr>
    </w:p>
    <w:p w14:paraId="0000010A"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Certains éléments à la Maison des femmes rappellent la nature hospitalière du lieu. Les déplacements entre la salle d’attente et le bureau de chaque professionnelle restent assez formels, et les femmes semblent souvent figées et statiques dans la salle d’attente avant leur rendez-vous. Certains espaces, comme le salon de convivialité, sont peu utilisés. Cela s’explique en partie par une signalétique peu claire, qui n’incite pas à profiter de l’ensemble des espaces prévus et disponibles. Par exemple, il n’est pas indiqué que des jeux sont mis à disposition pour les enfants dans certains espaces de la MDF, comme au sein de la salle de convivialité, ni que les toilettes disposent d’un espace nurserie. Par ailleurs, des flyers relatifs à des dispositifs d’aide et d’accompagnement destinés aux femmes victimes de violences sont disposés sur un panneau en liège. Ces supports d’information sont peu lisibles en raison d’un affichage peu structuré.  </w:t>
      </w:r>
    </w:p>
    <w:p w14:paraId="0000010B" w14:textId="77777777" w:rsidR="004E766C" w:rsidRDefault="004E766C">
      <w:pPr>
        <w:jc w:val="both"/>
        <w:rPr>
          <w:rFonts w:ascii="Times New Roman" w:eastAsia="Times New Roman" w:hAnsi="Times New Roman" w:cs="Times New Roman"/>
          <w:sz w:val="24"/>
          <w:szCs w:val="24"/>
        </w:rPr>
      </w:pPr>
    </w:p>
    <w:p w14:paraId="0000010C"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Les nouvelles bénéficiaires apparaissent souvent stressées et repliées sur elles-mêmes, ce qui témoigne du fait que l’appropriation d’un lieu constitue généralement un travail de long terme. Nous avons en effet observé que les bénéficiaires ayant déjà fréquenté la Maison des Femmes manifestent plus d’aisance à se déplacer dans le lieu et semblent plus détendues. Cela s’explique bien sûr par un processus de reconstruction plus avancé que celui des bénéficiaires arrivant pour la première fois à la MDF.</w:t>
      </w:r>
    </w:p>
    <w:p w14:paraId="0000010D" w14:textId="77777777" w:rsidR="004E766C" w:rsidRDefault="004E766C">
      <w:pPr>
        <w:jc w:val="both"/>
        <w:rPr>
          <w:rFonts w:ascii="Times New Roman" w:eastAsia="Times New Roman" w:hAnsi="Times New Roman" w:cs="Times New Roman"/>
          <w:sz w:val="24"/>
          <w:szCs w:val="24"/>
        </w:rPr>
      </w:pPr>
    </w:p>
    <w:p w14:paraId="0000010E" w14:textId="77777777" w:rsidR="004E766C"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La mise en œuvre d’une hospitalité réelle et vivante nécessite du temps et un travail souvent invisible.</w:t>
      </w:r>
      <w:r>
        <w:rPr>
          <w:rFonts w:ascii="Times New Roman" w:eastAsia="Times New Roman" w:hAnsi="Times New Roman" w:cs="Times New Roman"/>
          <w:sz w:val="24"/>
          <w:szCs w:val="24"/>
          <w:vertAlign w:val="superscript"/>
        </w:rPr>
        <w:footnoteReference w:id="69"/>
      </w:r>
      <w:r>
        <w:rPr>
          <w:rFonts w:ascii="Times New Roman" w:eastAsia="Times New Roman" w:hAnsi="Times New Roman" w:cs="Times New Roman"/>
          <w:sz w:val="24"/>
          <w:szCs w:val="24"/>
        </w:rPr>
        <w:t xml:space="preserve"> L’objectif est de faire exister un lieu ouvert, sécurisant et convivial, où chacune puisse s’exprimer et se sentir en sécurité, tant du côté des bénéficiaires que des professionnelles. Faire vivre cette hospitalité requiert de la cohésion et des échanges, souvent informels, entre les professionnelles elles-mêmes et entre professionnelles et bénéficiaires. Si l’ambition est de créer un « lieu refuge » au sein duquel les formalités du lieu et la spontanéité s’imbriquent harmonieusement, il faut aussi accepter que l’appropriation d’un tel espace soit un processus progressif et exigeant.</w:t>
      </w:r>
    </w:p>
    <w:p w14:paraId="0000010F" w14:textId="77777777" w:rsidR="004E766C" w:rsidRDefault="004E766C">
      <w:pPr>
        <w:pStyle w:val="Titre2"/>
        <w:numPr>
          <w:ilvl w:val="0"/>
          <w:numId w:val="12"/>
        </w:numPr>
        <w:rPr>
          <w:b w:val="0"/>
          <w:bCs w:val="0"/>
          <w:color w:val="FFFFFF"/>
          <w:sz w:val="10"/>
          <w:szCs w:val="10"/>
        </w:rPr>
      </w:pPr>
      <w:bookmarkStart w:id="61" w:name="_heading=h.qysx0n504f1f" w:colFirst="0" w:colLast="0"/>
      <w:bookmarkEnd w:id="61"/>
    </w:p>
    <w:p w14:paraId="00000110" w14:textId="77777777" w:rsidR="004E766C" w:rsidRDefault="004E766C">
      <w:pPr>
        <w:numPr>
          <w:ilvl w:val="0"/>
          <w:numId w:val="12"/>
        </w:numPr>
        <w:rPr>
          <w:color w:val="FFFFFF"/>
          <w:sz w:val="8"/>
          <w:szCs w:val="8"/>
        </w:rPr>
      </w:pPr>
    </w:p>
    <w:p w14:paraId="00000111" w14:textId="77777777" w:rsidR="004E766C" w:rsidRDefault="00000000">
      <w:pPr>
        <w:pStyle w:val="Titre2"/>
        <w:numPr>
          <w:ilvl w:val="0"/>
          <w:numId w:val="12"/>
        </w:numPr>
        <w:rPr>
          <w:color w:val="000000"/>
        </w:rPr>
      </w:pPr>
      <w:bookmarkStart w:id="62" w:name="_heading=h.8qlujhicftir" w:colFirst="0" w:colLast="0"/>
      <w:bookmarkEnd w:id="62"/>
      <w:r>
        <w:rPr>
          <w:color w:val="000000"/>
        </w:rPr>
        <w:t>La Maison des Femmes : vers un refuge « d’inspiration féministe »</w:t>
      </w:r>
    </w:p>
    <w:p w14:paraId="00000112"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Au-delà de l’accueil humain et matériel, le refuge fait office de pont vers un accueil transversal. </w:t>
      </w:r>
    </w:p>
    <w:p w14:paraId="00000113"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Maison des Femmes de Lyon est une structure émergente, portée par un collectif de dix associations. Cette genèse plurielle l’oblige à naviguer entre des intérêts parfois divergents : la cohabitation de différents courants féministes, l'exigence de neutralité liée aux financements publics, les contraintes du cadre hospitalier et une demande de prise en charge qui excède ses capacités actuelles.</w:t>
      </w:r>
    </w:p>
    <w:p w14:paraId="00000114"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raison de la rapidité de sa mise en service, les pratiques professionnelles d’accueil n’ont pas encore pu être pleinement protocolisées. L’identité de la structure se dessine donc, pour l'heure, par une série de conciliations. C’est précisément ici que notre recherche intervient, l’absence d’une culture professionnelle commune et stabilisée constitue encore un frein à l’élaboration d’une politique d’accueil optimale.</w:t>
      </w:r>
    </w:p>
    <w:p w14:paraId="00000115"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Dès lors, l’enjeu pour la MDF est de fonder sa politique d’hospitalité sur une identité propre, qualifiée ici d</w:t>
      </w:r>
      <w:proofErr w:type="gramStart"/>
      <w:r>
        <w:rPr>
          <w:rFonts w:ascii="Times New Roman" w:eastAsia="Times New Roman" w:hAnsi="Times New Roman" w:cs="Times New Roman"/>
          <w:sz w:val="24"/>
          <w:szCs w:val="24"/>
        </w:rPr>
        <w:t>'</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inspiration féministe</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Ce choix sémantique reflète une volonté de cohérence entre les valeurs militantes du collectif et la réalité de l'accompagnement professionnel. En nous appuyant sur la littérature mobilisée et nos travaux empiriques, nous proposons d'utiliser cette notion pour définir ce projet en construction ; transformer la structure en un refuge, dont l'approche est guidée par les principes de l'émancipation.</w:t>
      </w:r>
    </w:p>
    <w:p w14:paraId="00000116" w14:textId="77777777" w:rsidR="004E766C" w:rsidRDefault="00000000">
      <w:pPr>
        <w:spacing w:before="240" w:after="24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Cette « inspiration féministe » rejoint la définition du CNRTL, qui y voit un « mouvement social ayant pour objet l’émancipation de la femme et l’extension de ses droits afin d’égaliser son statut avec celui de l’homme ». Les entretiens menés avec les professionnelles confirment que cette vision est le socle de leur mission.</w:t>
      </w:r>
    </w:p>
    <w:p w14:paraId="00000117" w14:textId="77777777" w:rsidR="004E766C" w:rsidRDefault="00000000">
      <w:pPr>
        <w:pStyle w:val="Titre3"/>
        <w:numPr>
          <w:ilvl w:val="0"/>
          <w:numId w:val="45"/>
        </w:numPr>
      </w:pPr>
      <w:bookmarkStart w:id="63" w:name="_heading=h.d4qvbo5vp41" w:colFirst="0" w:colLast="0"/>
      <w:bookmarkEnd w:id="63"/>
      <w:r>
        <w:t xml:space="preserve"> La rupture avec la posture d'autorité : une horizontalité militante</w:t>
      </w:r>
    </w:p>
    <w:p w14:paraId="00000118" w14:textId="77777777" w:rsidR="004E766C" w:rsidRDefault="004E766C">
      <w:pPr>
        <w:spacing w:line="240" w:lineRule="auto"/>
        <w:jc w:val="both"/>
        <w:rPr>
          <w:rFonts w:ascii="Times New Roman" w:eastAsia="Times New Roman" w:hAnsi="Times New Roman" w:cs="Times New Roman"/>
          <w:sz w:val="24"/>
          <w:szCs w:val="24"/>
        </w:rPr>
      </w:pPr>
    </w:p>
    <w:p w14:paraId="00000119"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 Maison des Femmes de Lyon instaure un « féminisme en actes », qui se manifeste d'abord par un refus de la verticalité entre professionnelles et bénéficiaires.</w:t>
      </w:r>
    </w:p>
    <w:p w14:paraId="0000011A"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Dans les institutions classiques, notamment la police et les administrations, les femmes victimes de violences sont souvent confrontées à une injonction à la preuve qui prend la forme d’un interrogatoire. Face à ce constat, la MDF cherche à déplacer le curseur de la suspicion vers l'alliance. Comme le souligne Cléa Jury, le fait de croire la parole des femmes n'est pas une simple posture d'écoute, il s’agit d’un « choix professionnel ». En postulant la véracité du récit de la victime, la structure pose un acte fondateur fort ; le refuge commence précisément là où la suspicion s'arrête.</w:t>
      </w:r>
    </w:p>
    <w:p w14:paraId="0000011B" w14:textId="77777777" w:rsidR="004E766C" w:rsidRDefault="004E766C">
      <w:pPr>
        <w:spacing w:line="240" w:lineRule="auto"/>
        <w:jc w:val="both"/>
        <w:rPr>
          <w:rFonts w:ascii="Times New Roman" w:eastAsia="Times New Roman" w:hAnsi="Times New Roman" w:cs="Times New Roman"/>
          <w:sz w:val="24"/>
          <w:szCs w:val="24"/>
        </w:rPr>
      </w:pPr>
    </w:p>
    <w:p w14:paraId="0000011C"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horizontalité se traduit également par une redéfinition de la posture d'experte. Cloé </w:t>
      </w:r>
      <w:proofErr w:type="spellStart"/>
      <w:r>
        <w:rPr>
          <w:rFonts w:ascii="Times New Roman" w:eastAsia="Times New Roman" w:hAnsi="Times New Roman" w:cs="Times New Roman"/>
          <w:sz w:val="24"/>
          <w:szCs w:val="24"/>
        </w:rPr>
        <w:t>Tassara</w:t>
      </w:r>
      <w:proofErr w:type="spellEnd"/>
      <w:r>
        <w:rPr>
          <w:rFonts w:ascii="Times New Roman" w:eastAsia="Times New Roman" w:hAnsi="Times New Roman" w:cs="Times New Roman"/>
          <w:sz w:val="24"/>
          <w:szCs w:val="24"/>
        </w:rPr>
        <w:t xml:space="preserve"> introduit ici une nuance cruciale entre l’information et le conseil. Là où le conseil peut encore exercer un pouvoir normatif sur la trajectoire de l'autre, l’information vise à restaurer l'agentivité de la femme. </w:t>
      </w:r>
    </w:p>
    <w:p w14:paraId="0000011D"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Ainsi, en transmettant des clés juridiques, médicales et sociales, la professionnelle ne dirige pas, elle cherche à outiller. Ici, le savoir n'est plus un instrument de domination, mais un levier d'émancipation.</w:t>
      </w:r>
    </w:p>
    <w:p w14:paraId="0000011E"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démarche de </w:t>
      </w:r>
      <w:proofErr w:type="spellStart"/>
      <w:r>
        <w:rPr>
          <w:rFonts w:ascii="Times New Roman" w:eastAsia="Times New Roman" w:hAnsi="Times New Roman" w:cs="Times New Roman"/>
          <w:sz w:val="24"/>
          <w:szCs w:val="24"/>
        </w:rPr>
        <w:t>dé-hiérarchisation</w:t>
      </w:r>
      <w:proofErr w:type="spellEnd"/>
      <w:r>
        <w:rPr>
          <w:rFonts w:ascii="Times New Roman" w:eastAsia="Times New Roman" w:hAnsi="Times New Roman" w:cs="Times New Roman"/>
          <w:sz w:val="24"/>
          <w:szCs w:val="24"/>
        </w:rPr>
        <w:t xml:space="preserve"> s’incarne aussi dans la temporalité du lieu. Les moments informels, tels que les brunchs ou les ateliers, ne doivent pas être analysés comme de simples activités occupationnelles. Ce sont plutôt des dispositifs de création de commun. De fait, en s'extrayant du cadre rigide du bureau, ou de l'hôpital, les professionnelles et les bénéficiaires rétablissent une symétrie des relations. Ce passage du statut de « patiente » à celui de membre d'une communauté de soutien est le premier pas vers une sortie de l'isolement et une réappropriation de l'estime de soi. Il permet également de donner une orientation claire à la structure. </w:t>
      </w:r>
    </w:p>
    <w:p w14:paraId="0000011F" w14:textId="77777777" w:rsidR="004E766C" w:rsidRDefault="004E766C">
      <w:pPr>
        <w:spacing w:line="240" w:lineRule="auto"/>
        <w:jc w:val="both"/>
        <w:rPr>
          <w:rFonts w:ascii="Times New Roman" w:eastAsia="Times New Roman" w:hAnsi="Times New Roman" w:cs="Times New Roman"/>
          <w:sz w:val="24"/>
          <w:szCs w:val="24"/>
        </w:rPr>
      </w:pPr>
    </w:p>
    <w:p w14:paraId="00000120"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 féminisme en acte » se traduit également par une posture d'autocritique permanente. Comme l'évoquent Carlotta </w:t>
      </w:r>
      <w:proofErr w:type="spellStart"/>
      <w:r>
        <w:rPr>
          <w:rFonts w:ascii="Times New Roman" w:eastAsia="Times New Roman" w:hAnsi="Times New Roman" w:cs="Times New Roman"/>
          <w:sz w:val="24"/>
          <w:szCs w:val="24"/>
        </w:rPr>
        <w:t>Bellin</w:t>
      </w:r>
      <w:proofErr w:type="spellEnd"/>
      <w:r>
        <w:rPr>
          <w:rFonts w:ascii="Times New Roman" w:eastAsia="Times New Roman" w:hAnsi="Times New Roman" w:cs="Times New Roman"/>
          <w:sz w:val="24"/>
          <w:szCs w:val="24"/>
        </w:rPr>
        <w:t xml:space="preserve"> et Gwenaëlle Ferré, maintenir un refuge « d'inspiration féministe » exige une vigilance constante sur ses propres privilèges et biais de domination. Cette réflexivité consiste à identifier et déconstruire les réflexes racistes, classistes ou homophobes, par exemple, au sein même de l'équipe. Elle s'inscrit alors dans une démarche de féminisme intersectionnel. </w:t>
      </w:r>
    </w:p>
    <w:p w14:paraId="00000121"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Ici, la formation continue n'est pas qu'une mise à jour technique, c'est un acte militant garantissant que le refuge demeure un espace de sécurité réelle pour toutes, et notamment les femmes trans, les personnes non-binaires et les femmes racisées, souvent doublement précarisées par les institutions classiques.</w:t>
      </w:r>
    </w:p>
    <w:p w14:paraId="00000122" w14:textId="77777777" w:rsidR="004E766C" w:rsidRDefault="004E766C">
      <w:pPr>
        <w:spacing w:line="240" w:lineRule="auto"/>
        <w:jc w:val="both"/>
        <w:rPr>
          <w:rFonts w:ascii="Times New Roman" w:eastAsia="Times New Roman" w:hAnsi="Times New Roman" w:cs="Times New Roman"/>
          <w:sz w:val="24"/>
          <w:szCs w:val="24"/>
        </w:rPr>
      </w:pPr>
    </w:p>
    <w:p w14:paraId="00000123" w14:textId="77777777" w:rsidR="004E766C" w:rsidRDefault="00000000">
      <w:pPr>
        <w:pStyle w:val="Titre3"/>
        <w:numPr>
          <w:ilvl w:val="0"/>
          <w:numId w:val="45"/>
        </w:numPr>
      </w:pPr>
      <w:bookmarkStart w:id="64" w:name="_heading=h.3np0gnr6x4t3" w:colFirst="0" w:colLast="0"/>
      <w:bookmarkEnd w:id="64"/>
      <w:r>
        <w:t>De la souffrance individuelle à la guérison par conscientisation structurelle</w:t>
      </w:r>
    </w:p>
    <w:p w14:paraId="00000124" w14:textId="77777777" w:rsidR="004E766C" w:rsidRDefault="004E766C">
      <w:pPr>
        <w:spacing w:line="240" w:lineRule="auto"/>
        <w:jc w:val="both"/>
        <w:rPr>
          <w:rFonts w:ascii="Times New Roman" w:eastAsia="Times New Roman" w:hAnsi="Times New Roman" w:cs="Times New Roman"/>
          <w:b/>
          <w:bCs/>
          <w:sz w:val="24"/>
          <w:szCs w:val="24"/>
        </w:rPr>
      </w:pPr>
    </w:p>
    <w:p w14:paraId="00000125"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Au-delà de l'horizontalité relationnelle, la MDF tend à déployer une stratégie de politisation de l'intime. L'objectif est ici de fournir aux bénéficiaires différents outils de compréhension, afin de passer d'une lecture psychologisante de la violence à une analyse structurelle. En d'autres termes, il s'agit de démontrer que les violences vécues ne sont pas des accidents isolés, mais les manifestations d'un système de domination global.</w:t>
      </w:r>
    </w:p>
    <w:p w14:paraId="00000126"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En premier lieu, il est important d’insister sur la notion de guérison. Allant au-delà du soin, la guérison s’explique par le fait que les bénéficiaires de la Maison des Femmes de Lyon ne sont pas face à une pathologie à éradiquer, mais bel et bien face à un continuum de violences ; concept approfondi dans notre état de l’art et défini par Liz Kelly</w:t>
      </w:r>
      <w:r>
        <w:rPr>
          <w:rFonts w:ascii="Times New Roman" w:eastAsia="Times New Roman" w:hAnsi="Times New Roman" w:cs="Times New Roman"/>
          <w:sz w:val="24"/>
          <w:szCs w:val="24"/>
          <w:vertAlign w:val="superscript"/>
        </w:rPr>
        <w:footnoteReference w:id="70"/>
      </w:r>
      <w:r>
        <w:rPr>
          <w:rFonts w:ascii="Times New Roman" w:eastAsia="Times New Roman" w:hAnsi="Times New Roman" w:cs="Times New Roman"/>
          <w:sz w:val="24"/>
          <w:szCs w:val="24"/>
        </w:rPr>
        <w:t xml:space="preserve">. Ce continuum de violences étant avant tout un continuum de fréquence et d’expérience, la prise en charge ne peut être un soin isolé mais un processus d’accompagnement pluriel, horizontal, commun, qu’on nommera la guérison dans le cadre de la Maison des Femmes. Le refuge d’inspiration féministe que la structure aspire à devenir doit ainsi transparaître à travers cette définition politique de la guérison comme une réponse à un système global d’oppression masculine. C’est pour ces raisons que la notion nous paraît centrale dans l’identité et l’image de la structure. </w:t>
      </w:r>
    </w:p>
    <w:p w14:paraId="00000127" w14:textId="77777777" w:rsidR="004E766C" w:rsidRDefault="004E766C">
      <w:pPr>
        <w:spacing w:line="240" w:lineRule="auto"/>
        <w:jc w:val="both"/>
        <w:rPr>
          <w:rFonts w:ascii="Times New Roman" w:eastAsia="Times New Roman" w:hAnsi="Times New Roman" w:cs="Times New Roman"/>
          <w:sz w:val="24"/>
          <w:szCs w:val="24"/>
        </w:rPr>
      </w:pPr>
    </w:p>
    <w:p w14:paraId="00000128"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Aussi, l'accompagnement est le premier élément constitutif de cette identité de structure, en opposition à la notion de prise en charge. La nature diversifiée des professions juridiques, </w:t>
      </w:r>
      <w:r>
        <w:rPr>
          <w:rFonts w:ascii="Times New Roman" w:eastAsia="Times New Roman" w:hAnsi="Times New Roman" w:cs="Times New Roman"/>
          <w:sz w:val="24"/>
          <w:szCs w:val="24"/>
        </w:rPr>
        <w:lastRenderedPageBreak/>
        <w:t>médicales et sociales représentées à la Maison des Femmes implique un parcours de reconstruction pluriel et de long terme. Il ne s’agit pas de soigner dans l’urgence ou de façon localisée. Il s’agit d’accompagner une personne dont les besoins sont multiples dans un objectif de réhabilitation progressive, en vue de « </w:t>
      </w:r>
      <w:r>
        <w:rPr>
          <w:rFonts w:ascii="Times New Roman" w:eastAsia="Times New Roman" w:hAnsi="Times New Roman" w:cs="Times New Roman"/>
          <w:i/>
          <w:iCs/>
          <w:sz w:val="24"/>
          <w:szCs w:val="24"/>
        </w:rPr>
        <w:t>l’émancipation de la femme »</w:t>
      </w:r>
      <w:r>
        <w:rPr>
          <w:rFonts w:ascii="Times New Roman" w:eastAsia="Times New Roman" w:hAnsi="Times New Roman" w:cs="Times New Roman"/>
          <w:i/>
          <w:iCs/>
          <w:sz w:val="24"/>
          <w:szCs w:val="24"/>
          <w:vertAlign w:val="superscript"/>
        </w:rPr>
        <w:footnoteReference w:id="71"/>
      </w:r>
      <w:r>
        <w:rPr>
          <w:rFonts w:ascii="Times New Roman" w:eastAsia="Times New Roman" w:hAnsi="Times New Roman" w:cs="Times New Roman"/>
          <w:sz w:val="24"/>
          <w:szCs w:val="24"/>
        </w:rPr>
        <w:t xml:space="preserve">. </w:t>
      </w:r>
    </w:p>
    <w:p w14:paraId="0000012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 objectif d’accompagnement différencie la Maison des Femmes de Lyon d’un certain nombre d’établissements d’aide médico-légale, mais n’est pas une évidence </w:t>
      </w:r>
      <w:r>
        <w:rPr>
          <w:rFonts w:ascii="Times New Roman" w:eastAsia="Times New Roman" w:hAnsi="Times New Roman" w:cs="Times New Roman"/>
          <w:i/>
          <w:iCs/>
          <w:sz w:val="24"/>
          <w:szCs w:val="24"/>
        </w:rPr>
        <w:t>a priori</w:t>
      </w:r>
      <w:r>
        <w:rPr>
          <w:rFonts w:ascii="Times New Roman" w:eastAsia="Times New Roman" w:hAnsi="Times New Roman" w:cs="Times New Roman"/>
          <w:sz w:val="24"/>
          <w:szCs w:val="24"/>
        </w:rPr>
        <w:t xml:space="preserve"> compte tenu de l’ancrage hospitalier de la structure. </w:t>
      </w:r>
    </w:p>
    <w:p w14:paraId="0000012A" w14:textId="77777777" w:rsidR="004E766C" w:rsidRDefault="004E766C">
      <w:pPr>
        <w:spacing w:line="240" w:lineRule="auto"/>
        <w:jc w:val="both"/>
        <w:rPr>
          <w:rFonts w:ascii="Times New Roman" w:eastAsia="Times New Roman" w:hAnsi="Times New Roman" w:cs="Times New Roman"/>
          <w:sz w:val="24"/>
          <w:szCs w:val="24"/>
        </w:rPr>
      </w:pPr>
    </w:p>
    <w:p w14:paraId="0000012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Par ailleurs, l'utilisation d'outils visuels, comme le schéma du cycle de la violence, permet un basculement cognitif. La question n'est plus « pourquoi moi ? » (</w:t>
      </w:r>
      <w:proofErr w:type="gramStart"/>
      <w:r>
        <w:rPr>
          <w:rFonts w:ascii="Times New Roman" w:eastAsia="Times New Roman" w:hAnsi="Times New Roman" w:cs="Times New Roman"/>
          <w:sz w:val="24"/>
          <w:szCs w:val="24"/>
        </w:rPr>
        <w:t>réaction</w:t>
      </w:r>
      <w:proofErr w:type="gramEnd"/>
      <w:r>
        <w:rPr>
          <w:rFonts w:ascii="Times New Roman" w:eastAsia="Times New Roman" w:hAnsi="Times New Roman" w:cs="Times New Roman"/>
          <w:sz w:val="24"/>
          <w:szCs w:val="24"/>
        </w:rPr>
        <w:t xml:space="preserve"> de culpabilisation) mais « comment ça marche ? » (</w:t>
      </w:r>
      <w:proofErr w:type="gramStart"/>
      <w:r>
        <w:rPr>
          <w:rFonts w:ascii="Times New Roman" w:eastAsia="Times New Roman" w:hAnsi="Times New Roman" w:cs="Times New Roman"/>
          <w:sz w:val="24"/>
          <w:szCs w:val="24"/>
        </w:rPr>
        <w:t>analyse</w:t>
      </w:r>
      <w:proofErr w:type="gramEnd"/>
      <w:r>
        <w:rPr>
          <w:rFonts w:ascii="Times New Roman" w:eastAsia="Times New Roman" w:hAnsi="Times New Roman" w:cs="Times New Roman"/>
          <w:sz w:val="24"/>
          <w:szCs w:val="24"/>
        </w:rPr>
        <w:t xml:space="preserve"> plus systémique). Cette mise à distance intellectuelle est une étape thérapeutique et politique majeure. C’est en décortiquant les mécanismes de l'emprise et les stratégies de l'agresseur que la femme peut entamer un processus de détachement émotionnel et se réapproprier son histoire.</w:t>
      </w:r>
    </w:p>
    <w:p w14:paraId="0000012C" w14:textId="77777777" w:rsidR="004E766C" w:rsidRDefault="004E766C">
      <w:pPr>
        <w:spacing w:line="240" w:lineRule="auto"/>
        <w:jc w:val="both"/>
        <w:rPr>
          <w:rFonts w:ascii="Times New Roman" w:eastAsia="Times New Roman" w:hAnsi="Times New Roman" w:cs="Times New Roman"/>
          <w:sz w:val="24"/>
          <w:szCs w:val="24"/>
        </w:rPr>
      </w:pPr>
    </w:p>
    <w:p w14:paraId="0000012D"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conscientisation passe également par une stratégie de </w:t>
      </w:r>
      <w:proofErr w:type="spellStart"/>
      <w:r>
        <w:rPr>
          <w:rFonts w:ascii="Times New Roman" w:eastAsia="Times New Roman" w:hAnsi="Times New Roman" w:cs="Times New Roman"/>
          <w:sz w:val="24"/>
          <w:szCs w:val="24"/>
        </w:rPr>
        <w:t>dé-pathologisation</w:t>
      </w:r>
      <w:proofErr w:type="spellEnd"/>
      <w:r>
        <w:rPr>
          <w:rFonts w:ascii="Times New Roman" w:eastAsia="Times New Roman" w:hAnsi="Times New Roman" w:cs="Times New Roman"/>
          <w:sz w:val="24"/>
          <w:szCs w:val="24"/>
        </w:rPr>
        <w:t xml:space="preserve">. Le témoignage d'une ancienne bénéficiaire est, à ce titre, paradigmatique. En effet, hantée par la peur d'être « folle », ou d'être perçue comme telle par l'institution, elle a trouvé à la MDF un contre-discours libérateur. Le rôle du refuge est ici de requalifier le traumatisme : ce qui était perçu comme une défaillance psychologique individuelle est reconnu comme une réaction logique, adaptative et légitime à une violence externe anormale. </w:t>
      </w:r>
    </w:p>
    <w:p w14:paraId="0000012E" w14:textId="77777777" w:rsidR="004E766C" w:rsidRDefault="004E766C">
      <w:pPr>
        <w:spacing w:line="240" w:lineRule="auto"/>
        <w:jc w:val="both"/>
        <w:rPr>
          <w:rFonts w:ascii="Times New Roman" w:eastAsia="Times New Roman" w:hAnsi="Times New Roman" w:cs="Times New Roman"/>
          <w:sz w:val="24"/>
          <w:szCs w:val="24"/>
        </w:rPr>
      </w:pPr>
    </w:p>
    <w:p w14:paraId="0000012F" w14:textId="77777777" w:rsidR="004E766C" w:rsidRDefault="00000000">
      <w:pPr>
        <w:pStyle w:val="Titre3"/>
        <w:numPr>
          <w:ilvl w:val="0"/>
          <w:numId w:val="45"/>
        </w:numPr>
      </w:pPr>
      <w:bookmarkStart w:id="65" w:name="_heading=h.j5tdbrn5lm1m" w:colFirst="0" w:colLast="0"/>
      <w:bookmarkEnd w:id="65"/>
      <w:r>
        <w:t>De la réparation symbolique à la cohésion pluridisciplinaire</w:t>
      </w:r>
    </w:p>
    <w:p w14:paraId="00000130" w14:textId="77777777" w:rsidR="004E766C" w:rsidRDefault="004E766C">
      <w:pPr>
        <w:spacing w:line="240" w:lineRule="auto"/>
        <w:jc w:val="both"/>
        <w:rPr>
          <w:rFonts w:ascii="Times New Roman" w:eastAsia="Times New Roman" w:hAnsi="Times New Roman" w:cs="Times New Roman"/>
          <w:b/>
          <w:bCs/>
          <w:sz w:val="24"/>
          <w:szCs w:val="24"/>
        </w:rPr>
      </w:pPr>
    </w:p>
    <w:p w14:paraId="00000131"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 la conscientisation permet de nommer la violence structurelle, l’hospitalité de la MDF agit comme son application pratique. Ici, l’accueil, qu’il soit humain ou matériel, ne se contente pas de pallier des </w:t>
      </w:r>
      <w:proofErr w:type="gramStart"/>
      <w:r>
        <w:rPr>
          <w:rFonts w:ascii="Times New Roman" w:eastAsia="Times New Roman" w:hAnsi="Times New Roman" w:cs="Times New Roman"/>
          <w:sz w:val="24"/>
          <w:szCs w:val="24"/>
        </w:rPr>
        <w:t>manques;</w:t>
      </w:r>
      <w:proofErr w:type="gramEnd"/>
      <w:r>
        <w:rPr>
          <w:rFonts w:ascii="Times New Roman" w:eastAsia="Times New Roman" w:hAnsi="Times New Roman" w:cs="Times New Roman"/>
          <w:sz w:val="24"/>
          <w:szCs w:val="24"/>
        </w:rPr>
        <w:t xml:space="preserve"> il crée un espace de sécurité, protégé des agressions du monde extérieur.</w:t>
      </w:r>
    </w:p>
    <w:p w14:paraId="00000132"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Pour </w:t>
      </w:r>
      <w:r>
        <w:rPr>
          <w:rFonts w:ascii="Times New Roman" w:eastAsia="Times New Roman" w:hAnsi="Times New Roman" w:cs="Times New Roman"/>
          <w:i/>
          <w:iCs/>
          <w:sz w:val="24"/>
          <w:szCs w:val="24"/>
        </w:rPr>
        <w:t>Alison</w:t>
      </w:r>
      <w:r>
        <w:rPr>
          <w:rFonts w:ascii="Times New Roman" w:eastAsia="Times New Roman" w:hAnsi="Times New Roman" w:cs="Times New Roman"/>
          <w:sz w:val="24"/>
          <w:szCs w:val="24"/>
          <w:vertAlign w:val="superscript"/>
        </w:rPr>
        <w:footnoteReference w:id="72"/>
      </w:r>
      <w:r>
        <w:rPr>
          <w:rFonts w:ascii="Times New Roman" w:eastAsia="Times New Roman" w:hAnsi="Times New Roman" w:cs="Times New Roman"/>
          <w:sz w:val="24"/>
          <w:szCs w:val="24"/>
        </w:rPr>
        <w:t>, la MDF fonctionne comme un « antidote » à la violence institutionnelle. Elle oppose la bienveillance du refuge à la dureté de l’institution classique, qu’elle qualifie de « brute » ou de « sèche ». Cette violence institutionnelle se niche souvent dans le langage et les procédures. En proposant une médiation (par exemple lors de l’accompagnement au dépôt de plainte) la MDF s’assure que le contact avec la police ou la justice ne se transforme pas en une nouvelle agression, ou victimisation secondaire. Le refuge joue alors un rôle de bouclier sémantique et juridique, traduisant des parcours administratifs souvent déshumanisants.</w:t>
      </w:r>
    </w:p>
    <w:p w14:paraId="00000133" w14:textId="77777777" w:rsidR="004E766C" w:rsidRDefault="004E766C">
      <w:pPr>
        <w:spacing w:line="240" w:lineRule="auto"/>
        <w:jc w:val="both"/>
        <w:rPr>
          <w:rFonts w:ascii="Times New Roman" w:eastAsia="Times New Roman" w:hAnsi="Times New Roman" w:cs="Times New Roman"/>
          <w:sz w:val="24"/>
          <w:szCs w:val="24"/>
        </w:rPr>
      </w:pPr>
    </w:p>
    <w:p w14:paraId="00000134"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reconnaissance de la dignité passe aussi par une attention fine à la matérialité du lieu. Comme le souligne </w:t>
      </w:r>
      <w:r>
        <w:rPr>
          <w:rFonts w:ascii="Times New Roman" w:eastAsia="Times New Roman" w:hAnsi="Times New Roman" w:cs="Times New Roman"/>
          <w:i/>
          <w:iCs/>
          <w:sz w:val="24"/>
          <w:szCs w:val="24"/>
        </w:rPr>
        <w:t>Alison</w:t>
      </w:r>
      <w:r>
        <w:rPr>
          <w:rFonts w:ascii="Times New Roman" w:eastAsia="Times New Roman" w:hAnsi="Times New Roman" w:cs="Times New Roman"/>
          <w:sz w:val="24"/>
          <w:szCs w:val="24"/>
        </w:rPr>
        <w:t xml:space="preserve">, la propreté n'est pas un simple détail ménager ou logistique. Pour des femmes ayant connu la précarité ou l'insécurité domestique, évoluer dans un espace « bien propre » et esthétique est une forme de réparation symbolique. </w:t>
      </w:r>
    </w:p>
    <w:p w14:paraId="00000135" w14:textId="77777777" w:rsidR="004E766C" w:rsidRDefault="004E766C">
      <w:pPr>
        <w:spacing w:line="240" w:lineRule="auto"/>
        <w:jc w:val="both"/>
        <w:rPr>
          <w:rFonts w:ascii="Times New Roman" w:eastAsia="Times New Roman" w:hAnsi="Times New Roman" w:cs="Times New Roman"/>
          <w:sz w:val="24"/>
          <w:szCs w:val="24"/>
        </w:rPr>
      </w:pPr>
    </w:p>
    <w:p w14:paraId="00000136"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l’hospitalité de la MDF se veut </w:t>
      </w:r>
      <w:proofErr w:type="spellStart"/>
      <w:r>
        <w:rPr>
          <w:rFonts w:ascii="Times New Roman" w:eastAsia="Times New Roman" w:hAnsi="Times New Roman" w:cs="Times New Roman"/>
          <w:sz w:val="24"/>
          <w:szCs w:val="24"/>
        </w:rPr>
        <w:t>active</w:t>
      </w:r>
      <w:proofErr w:type="spellEnd"/>
      <w:r>
        <w:rPr>
          <w:rFonts w:ascii="Times New Roman" w:eastAsia="Times New Roman" w:hAnsi="Times New Roman" w:cs="Times New Roman"/>
          <w:sz w:val="24"/>
          <w:szCs w:val="24"/>
        </w:rPr>
        <w:t xml:space="preserve"> et intersectionnelle. </w:t>
      </w:r>
      <w:r>
        <w:rPr>
          <w:rFonts w:ascii="Times New Roman" w:eastAsia="Times New Roman" w:hAnsi="Times New Roman" w:cs="Times New Roman"/>
          <w:i/>
          <w:iCs/>
          <w:sz w:val="24"/>
          <w:szCs w:val="24"/>
        </w:rPr>
        <w:t>Jessica</w:t>
      </w:r>
      <w:r>
        <w:rPr>
          <w:rFonts w:ascii="Times New Roman" w:eastAsia="Times New Roman" w:hAnsi="Times New Roman" w:cs="Times New Roman"/>
          <w:sz w:val="24"/>
          <w:szCs w:val="24"/>
        </w:rPr>
        <w:t xml:space="preserve"> décrit une « deuxième famille » où les origines et les confessions ne sont pas des obstacles, mais les composantes d'une condition commune. Cette hospitalité n’est jamais </w:t>
      </w:r>
      <w:proofErr w:type="gramStart"/>
      <w:r>
        <w:rPr>
          <w:rFonts w:ascii="Times New Roman" w:eastAsia="Times New Roman" w:hAnsi="Times New Roman" w:cs="Times New Roman"/>
          <w:sz w:val="24"/>
          <w:szCs w:val="24"/>
        </w:rPr>
        <w:t>neutre;</w:t>
      </w:r>
      <w:proofErr w:type="gramEnd"/>
      <w:r>
        <w:rPr>
          <w:rFonts w:ascii="Times New Roman" w:eastAsia="Times New Roman" w:hAnsi="Times New Roman" w:cs="Times New Roman"/>
          <w:sz w:val="24"/>
          <w:szCs w:val="24"/>
        </w:rPr>
        <w:t xml:space="preserve"> elle est le fruit d’un travail conscient pour faire de la différence une richesse. En partageant des spécialités culinaires ou en déjouant les barrières de la langue par le rire et l'entraide, les bénéficiaires et les professionnelles coconstruisent une micro-société féministe. Dans ce cadre, l’universalisme </w:t>
      </w:r>
      <w:r>
        <w:rPr>
          <w:rFonts w:ascii="Times New Roman" w:eastAsia="Times New Roman" w:hAnsi="Times New Roman" w:cs="Times New Roman"/>
          <w:sz w:val="24"/>
          <w:szCs w:val="24"/>
        </w:rPr>
        <w:lastRenderedPageBreak/>
        <w:t>n’est pas une négation des identités (religieuses ou culturelles), mais une solidarité de destin qui permet de dépasser les assignations pour se reconnaître dans une lutte et une humanité commune.</w:t>
      </w:r>
    </w:p>
    <w:p w14:paraId="00000137" w14:textId="77777777" w:rsidR="004E766C" w:rsidRDefault="004E766C">
      <w:pPr>
        <w:spacing w:line="240" w:lineRule="auto"/>
        <w:jc w:val="both"/>
        <w:rPr>
          <w:rFonts w:ascii="Times New Roman" w:eastAsia="Times New Roman" w:hAnsi="Times New Roman" w:cs="Times New Roman"/>
          <w:sz w:val="24"/>
          <w:szCs w:val="24"/>
        </w:rPr>
      </w:pPr>
    </w:p>
    <w:p w14:paraId="00000138" w14:textId="77777777" w:rsidR="004E766C" w:rsidRDefault="00000000">
      <w:pPr>
        <w:pStyle w:val="Titre3"/>
        <w:numPr>
          <w:ilvl w:val="0"/>
          <w:numId w:val="45"/>
        </w:numPr>
      </w:pPr>
      <w:bookmarkStart w:id="66" w:name="_heading=h.ef70976ofx1v" w:colFirst="0" w:colLast="0"/>
      <w:bookmarkEnd w:id="66"/>
      <w:r>
        <w:t xml:space="preserve"> La « charge mentale de la guérison » </w:t>
      </w:r>
    </w:p>
    <w:p w14:paraId="00000139" w14:textId="77777777" w:rsidR="004E766C" w:rsidRDefault="004E766C">
      <w:pPr>
        <w:ind w:left="720"/>
      </w:pPr>
    </w:p>
    <w:p w14:paraId="0000013A" w14:textId="77777777" w:rsidR="004E766C" w:rsidRDefault="00000000">
      <w:pP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L'aboutissement de cette recherche-action nous conduit à identifier une tension paradoxale inhérente au parcours de sortie de violences, autour de l’asymétrie de l’effort de réparation. Si la MDF offre un cadre protecteur, elle est aussi le lieu où s'exprime une forme de colère politique face à l'injustice du « travail de soin » que doivent fournir les victimes.</w:t>
      </w:r>
    </w:p>
    <w:p w14:paraId="0000013B"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Jessica soulève un point aveugle des politiques publiques : pourquoi incombe-t-il systématiquement aux victimes de porter l’entière responsabilité de la reconstruction ? Cette « charge mentale de la guérison » constitue une double peine. </w:t>
      </w:r>
    </w:p>
    <w:p w14:paraId="0000013C" w14:textId="77777777" w:rsidR="004E766C" w:rsidRDefault="004E766C">
      <w:pPr>
        <w:spacing w:line="240" w:lineRule="auto"/>
        <w:jc w:val="both"/>
        <w:rPr>
          <w:rFonts w:ascii="Times New Roman" w:eastAsia="Times New Roman" w:hAnsi="Times New Roman" w:cs="Times New Roman"/>
          <w:sz w:val="24"/>
          <w:szCs w:val="24"/>
        </w:rPr>
      </w:pPr>
    </w:p>
    <w:p w14:paraId="0000013D"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 effet, après avoir subi la violence, la victime doit mobiliser des ressources psychologiques, temporelles et logistiques considérables pour se soigner, consulter et se reconstruire, là où l'agresseur et la société semblent souvent dédouanés de cet effort. </w:t>
      </w:r>
    </w:p>
    <w:p w14:paraId="0000013E"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 refuge « d'inspiration féministe » joue ici un rôle crucial. Il ne se contente pas de soigner, il valide cette colère comme une réaction légitime à une injustice structurelle. </w:t>
      </w:r>
    </w:p>
    <w:p w14:paraId="0000013F" w14:textId="77777777" w:rsidR="004E766C" w:rsidRDefault="004E766C">
      <w:pPr>
        <w:spacing w:line="240" w:lineRule="auto"/>
        <w:jc w:val="both"/>
        <w:rPr>
          <w:rFonts w:ascii="Times New Roman" w:eastAsia="Times New Roman" w:hAnsi="Times New Roman" w:cs="Times New Roman"/>
          <w:sz w:val="24"/>
          <w:szCs w:val="24"/>
        </w:rPr>
      </w:pPr>
    </w:p>
    <w:p w14:paraId="00000140"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Aussi, pour que ce refuge demeure un espace de haute qualité, l'analyse montre que le soin (</w:t>
      </w:r>
      <w:r>
        <w:rPr>
          <w:rFonts w:ascii="Times New Roman" w:eastAsia="Times New Roman" w:hAnsi="Times New Roman" w:cs="Times New Roman"/>
          <w:i/>
          <w:iCs/>
          <w:sz w:val="24"/>
          <w:szCs w:val="24"/>
        </w:rPr>
        <w:t>care</w:t>
      </w:r>
      <w:r>
        <w:rPr>
          <w:rFonts w:ascii="Times New Roman" w:eastAsia="Times New Roman" w:hAnsi="Times New Roman" w:cs="Times New Roman"/>
          <w:sz w:val="24"/>
          <w:szCs w:val="24"/>
        </w:rPr>
        <w:t xml:space="preserve">) ne peut être unidirectionnel. </w:t>
      </w:r>
    </w:p>
    <w:p w14:paraId="00000141"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Cloé </w:t>
      </w:r>
      <w:proofErr w:type="spellStart"/>
      <w:r>
        <w:rPr>
          <w:rFonts w:ascii="Times New Roman" w:eastAsia="Times New Roman" w:hAnsi="Times New Roman" w:cs="Times New Roman"/>
          <w:sz w:val="24"/>
          <w:szCs w:val="24"/>
        </w:rPr>
        <w:t>Tassara</w:t>
      </w:r>
      <w:proofErr w:type="spellEnd"/>
      <w:r>
        <w:rPr>
          <w:rFonts w:ascii="Times New Roman" w:eastAsia="Times New Roman" w:hAnsi="Times New Roman" w:cs="Times New Roman"/>
          <w:sz w:val="24"/>
          <w:szCs w:val="24"/>
        </w:rPr>
        <w:t xml:space="preserve"> souligne à ce titre un défi majeur : la prévention de l'épuisement professionnel. Dans un contexte de tension entre l'urgence hospitalière et la temporalité longue du trauma, la structure doit protéger ses propres forces vives. </w:t>
      </w:r>
    </w:p>
    <w:p w14:paraId="00000142"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 refuge féministe qui « brûlerait » ses travailleuses par manque de moyens ou par surcharge émotionnelle reproduirait, malgré lui, une forme de violence sociale et de sacrifice du travail des femmes. Le projet politique de la MDF inclut donc la nécessité de prendre soin de l'écosystème soignant. La durabilité du refuge dépend de sa capacité à offrir aux professionnelles des espaces de débriefing et de formation, garantissant que l'hospitalité reste un engagement choisi et non une source de précarité psychologique. Il semble ainsi nécessaire de ritualiser des moments informels comme précisé précédemment, afin de permettre une mise en commun de pratiques.</w:t>
      </w:r>
    </w:p>
    <w:p w14:paraId="00000143" w14:textId="77777777" w:rsidR="004E766C" w:rsidRDefault="004E766C">
      <w:pPr>
        <w:spacing w:line="240" w:lineRule="auto"/>
        <w:jc w:val="both"/>
        <w:rPr>
          <w:rFonts w:ascii="Times New Roman" w:eastAsia="Times New Roman" w:hAnsi="Times New Roman" w:cs="Times New Roman"/>
          <w:sz w:val="24"/>
          <w:szCs w:val="24"/>
        </w:rPr>
      </w:pPr>
    </w:p>
    <w:p w14:paraId="00000144"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Enfin, le succès de la mission de la MDF se mesure à la restauration de la confiance, non seulement en soi, mais en l'autre. La conclusion de </w:t>
      </w:r>
      <w:r>
        <w:rPr>
          <w:rFonts w:ascii="Times New Roman" w:eastAsia="Times New Roman" w:hAnsi="Times New Roman" w:cs="Times New Roman"/>
          <w:i/>
          <w:iCs/>
          <w:sz w:val="24"/>
          <w:szCs w:val="24"/>
        </w:rPr>
        <w:t>Jessica</w:t>
      </w:r>
      <w:r>
        <w:rPr>
          <w:rFonts w:ascii="Times New Roman" w:eastAsia="Times New Roman" w:hAnsi="Times New Roman" w:cs="Times New Roman"/>
          <w:sz w:val="24"/>
          <w:szCs w:val="24"/>
        </w:rPr>
        <w:t xml:space="preserve"> sur « la foi en l'humanité » retrouvée illustre le passage de la survie à la citoyenneté. Le refuge n'est pas une destination finale ni une bulle </w:t>
      </w:r>
      <w:proofErr w:type="gramStart"/>
      <w:r>
        <w:rPr>
          <w:rFonts w:ascii="Times New Roman" w:eastAsia="Times New Roman" w:hAnsi="Times New Roman" w:cs="Times New Roman"/>
          <w:sz w:val="24"/>
          <w:szCs w:val="24"/>
        </w:rPr>
        <w:t>fermée;</w:t>
      </w:r>
      <w:proofErr w:type="gramEnd"/>
      <w:r>
        <w:rPr>
          <w:rFonts w:ascii="Times New Roman" w:eastAsia="Times New Roman" w:hAnsi="Times New Roman" w:cs="Times New Roman"/>
          <w:sz w:val="24"/>
          <w:szCs w:val="24"/>
        </w:rPr>
        <w:t xml:space="preserve"> il fonctionne comme un tremplin. </w:t>
      </w:r>
    </w:p>
    <w:p w14:paraId="00000145"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Cette confiance restaurée permet aux femmes de retourner dans l'espace public, et parfois, comme le montre </w:t>
      </w:r>
      <w:r>
        <w:rPr>
          <w:rFonts w:ascii="Times New Roman" w:eastAsia="Times New Roman" w:hAnsi="Times New Roman" w:cs="Times New Roman"/>
          <w:i/>
          <w:iCs/>
          <w:sz w:val="24"/>
          <w:szCs w:val="24"/>
        </w:rPr>
        <w:t>Alison</w:t>
      </w:r>
      <w:r>
        <w:rPr>
          <w:rFonts w:ascii="Times New Roman" w:eastAsia="Times New Roman" w:hAnsi="Times New Roman" w:cs="Times New Roman"/>
          <w:sz w:val="24"/>
          <w:szCs w:val="24"/>
        </w:rPr>
        <w:t>, avec le désir de « rendre » ce qu'elles ont reçu en s'investissant à leur tour. L'engagement de la Maison des Femmes dépasse ainsi le cadre médical pour devenir un projet de société : celui d'un monde où la solidarité féministe devient le socle d'une humanité plus juste et plus habitable.</w:t>
      </w:r>
      <w:r>
        <w:br w:type="page"/>
      </w:r>
    </w:p>
    <w:p w14:paraId="00000146" w14:textId="77777777" w:rsidR="004E766C" w:rsidRDefault="00000000">
      <w:pPr>
        <w:pStyle w:val="Titre1"/>
      </w:pPr>
      <w:bookmarkStart w:id="67" w:name="_heading=h.vvsistxl57w1" w:colFirst="0" w:colLast="0"/>
      <w:bookmarkEnd w:id="67"/>
      <w:r>
        <w:lastRenderedPageBreak/>
        <w:t xml:space="preserve">PARTIE 3 : Expertise - Charte pour une culture commune de l'hospitalité </w:t>
      </w:r>
    </w:p>
    <w:p w14:paraId="11B4E525" w14:textId="77777777" w:rsidR="006D32A4" w:rsidRDefault="006D32A4" w:rsidP="006D32A4"/>
    <w:p w14:paraId="73B04C77" w14:textId="0982A818" w:rsidR="006D32A4" w:rsidRPr="006D32A4" w:rsidRDefault="006D32A4" w:rsidP="006D32A4">
      <w:r>
        <w:t xml:space="preserve">Lien de la charte : </w:t>
      </w:r>
      <w:r w:rsidRPr="006D32A4">
        <w:t>https://charte-mdf.lovable.app</w:t>
      </w:r>
    </w:p>
    <w:p w14:paraId="00000147" w14:textId="77777777" w:rsidR="004E766C" w:rsidRDefault="004E766C">
      <w:pPr>
        <w:spacing w:line="240" w:lineRule="auto"/>
        <w:rPr>
          <w:rFonts w:ascii="Times New Roman" w:eastAsia="Times New Roman" w:hAnsi="Times New Roman" w:cs="Times New Roman"/>
          <w:b/>
          <w:bCs/>
          <w:sz w:val="24"/>
          <w:szCs w:val="24"/>
        </w:rPr>
      </w:pPr>
    </w:p>
    <w:p w14:paraId="00000148" w14:textId="77777777" w:rsidR="004E766C" w:rsidRDefault="00000000">
      <w:pPr>
        <w:spacing w:line="240" w:lineRule="auto"/>
        <w:jc w:val="both"/>
        <w:rPr>
          <w:rFonts w:ascii="Times New Roman" w:eastAsia="Times New Roman" w:hAnsi="Times New Roman" w:cs="Times New Roman"/>
          <w:sz w:val="24"/>
          <w:szCs w:val="24"/>
        </w:rPr>
      </w:pPr>
      <w:r>
        <w:rPr>
          <w:rFonts w:ascii="Times" w:eastAsia="Times" w:hAnsi="Times" w:cs="Times"/>
          <w:sz w:val="24"/>
          <w:szCs w:val="24"/>
        </w:rPr>
        <w:t xml:space="preserve">La politique d’hospitalité de la Maison des Femmes de Lyon commence par l’affirmation d’une identité propre, d’inspiration féministe, cohérente avec ses valeurs professionnelles et sa vision de l’accompagnement. Comme précisé précédemment, son identité est pour le moment celle de conciliations entre </w:t>
      </w:r>
      <w:r>
        <w:rPr>
          <w:rFonts w:ascii="Times New Roman" w:eastAsia="Times New Roman" w:hAnsi="Times New Roman" w:cs="Times New Roman"/>
          <w:sz w:val="24"/>
          <w:szCs w:val="24"/>
        </w:rPr>
        <w:t xml:space="preserve">intérêts divers. En nous fondant sur la littérature mobilisée et nos travaux empiriques, il nous semblait donc important de transposer cette identité en construction aux pratiques d’accueil ainsi qu’à la culture professionnelle de la Maison des Femmes de Lyon, afin qu'elle devienne ce lieu refuge pour toutes. </w:t>
      </w:r>
    </w:p>
    <w:p w14:paraId="00000149" w14:textId="77777777" w:rsidR="004E766C" w:rsidRDefault="004E766C">
      <w:pPr>
        <w:spacing w:line="240" w:lineRule="auto"/>
        <w:jc w:val="both"/>
        <w:rPr>
          <w:rFonts w:ascii="Times New Roman" w:eastAsia="Times New Roman" w:hAnsi="Times New Roman" w:cs="Times New Roman"/>
          <w:sz w:val="24"/>
          <w:szCs w:val="24"/>
        </w:rPr>
      </w:pPr>
    </w:p>
    <w:p w14:paraId="0000014A"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L’image médiatique et très incarnée de la Maison des Femmes de Saint Denis est la preuve que l’identité d’une telle structure doit être pensée en résonance avec le sens que les professionnelles donnent à leur travail. Dans le cas de la Maison des Femmes de Lyon, le souci du collectif et d’une structure non personnifiée, suppose que son identité repose sur une culture professionnelle diverse et un accompagnement horizontal. </w:t>
      </w:r>
    </w:p>
    <w:p w14:paraId="0000014B" w14:textId="77777777" w:rsidR="004E766C" w:rsidRDefault="004E766C">
      <w:pPr>
        <w:spacing w:line="240" w:lineRule="auto"/>
        <w:jc w:val="both"/>
        <w:rPr>
          <w:rFonts w:ascii="Times New Roman" w:eastAsia="Times New Roman" w:hAnsi="Times New Roman" w:cs="Times New Roman"/>
          <w:sz w:val="24"/>
          <w:szCs w:val="24"/>
        </w:rPr>
      </w:pPr>
    </w:p>
    <w:p w14:paraId="0000014C" w14:textId="77777777" w:rsidR="004E766C"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Ainsi, la mise en œuvre d’une politique d'hospitalité, permettant de faire de la Maison des Femmes de Lyon un lieu refuge pour toutes, suppose qu’une culture professionnelle puisse préexister. Or, cette culture professionnelle n’a pu être encore protocolisée au vu de la rapidité avec laquelle la MDF, dès son ouverture, a été sollicitée. Construire une identité sensée est, en effet, un travail de longue durée. Aujourd’hui, l’absence de pratiques professionnelles partagées fait obstacle à la mise en place d’une politique d’accueil optimale, et c’est sur ce sujet que l’élaboration de notre charte de bonnes pratiques intervient. Voici donc les différents points structurant l’encadrement des bonnes pratiques professionnelles :</w:t>
      </w:r>
      <w:r>
        <w:rPr>
          <w:rFonts w:ascii="Times New Roman" w:eastAsia="Times New Roman" w:hAnsi="Times New Roman" w:cs="Times New Roman"/>
          <w:b/>
          <w:bCs/>
          <w:sz w:val="24"/>
          <w:szCs w:val="24"/>
        </w:rPr>
        <w:t xml:space="preserve"> </w:t>
      </w:r>
    </w:p>
    <w:p w14:paraId="0000014D" w14:textId="77777777" w:rsidR="004E766C" w:rsidRDefault="004E766C">
      <w:pPr>
        <w:spacing w:line="240" w:lineRule="auto"/>
        <w:jc w:val="both"/>
        <w:rPr>
          <w:rFonts w:ascii="Times New Roman" w:eastAsia="Times New Roman" w:hAnsi="Times New Roman" w:cs="Times New Roman"/>
          <w:b/>
          <w:bCs/>
          <w:sz w:val="24"/>
          <w:szCs w:val="24"/>
        </w:rPr>
      </w:pPr>
    </w:p>
    <w:p w14:paraId="0000014E"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Protocoliser le premier contact : </w:t>
      </w:r>
      <w:r>
        <w:rPr>
          <w:rFonts w:ascii="Times New Roman" w:eastAsia="Times New Roman" w:hAnsi="Times New Roman" w:cs="Times New Roman"/>
          <w:sz w:val="24"/>
          <w:szCs w:val="24"/>
        </w:rPr>
        <w:t xml:space="preserve">le premier contact entre une professionnelle de la MDF et une potentielle nouvelle bénéficiaire marque le début du parcours d’accompagnement, c’est un moment fort qui représente un enjeu majeur. Ce premier lien doit donc refléter la politique d’hospitalité de la structure dès les premiers instants. </w:t>
      </w:r>
    </w:p>
    <w:p w14:paraId="0000014F" w14:textId="77777777" w:rsidR="004E766C" w:rsidRDefault="004E766C">
      <w:pPr>
        <w:spacing w:line="240" w:lineRule="auto"/>
        <w:jc w:val="both"/>
        <w:rPr>
          <w:rFonts w:ascii="Times New Roman" w:eastAsia="Times New Roman" w:hAnsi="Times New Roman" w:cs="Times New Roman"/>
          <w:sz w:val="24"/>
          <w:szCs w:val="24"/>
        </w:rPr>
      </w:pPr>
    </w:p>
    <w:p w14:paraId="00000150"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Inviter à habiter le lieu : </w:t>
      </w:r>
      <w:r>
        <w:rPr>
          <w:rFonts w:ascii="Times New Roman" w:eastAsia="Times New Roman" w:hAnsi="Times New Roman" w:cs="Times New Roman"/>
          <w:sz w:val="24"/>
          <w:szCs w:val="24"/>
        </w:rPr>
        <w:t xml:space="preserve">habiter, c’est « être </w:t>
      </w:r>
      <w:proofErr w:type="spellStart"/>
      <w:r>
        <w:rPr>
          <w:rFonts w:ascii="Times New Roman" w:eastAsia="Times New Roman" w:hAnsi="Times New Roman" w:cs="Times New Roman"/>
          <w:sz w:val="24"/>
          <w:szCs w:val="24"/>
        </w:rPr>
        <w:t>présent·e</w:t>
      </w:r>
      <w:proofErr w:type="spellEnd"/>
      <w:r>
        <w:rPr>
          <w:rFonts w:ascii="Times New Roman" w:eastAsia="Times New Roman" w:hAnsi="Times New Roman" w:cs="Times New Roman"/>
          <w:sz w:val="24"/>
          <w:szCs w:val="24"/>
        </w:rPr>
        <w:t xml:space="preserve"> au monde et à autrui ». La MDF doit être un lieu refuge qui permettra aux bénéficiaires de rêver pour se restaurer, ce qui passe par une appropriation des espaces et des aménagements. </w:t>
      </w:r>
    </w:p>
    <w:p w14:paraId="00000151" w14:textId="77777777" w:rsidR="004E766C" w:rsidRDefault="004E766C">
      <w:pPr>
        <w:spacing w:line="240" w:lineRule="auto"/>
        <w:jc w:val="both"/>
        <w:rPr>
          <w:rFonts w:ascii="Times New Roman" w:eastAsia="Times New Roman" w:hAnsi="Times New Roman" w:cs="Times New Roman"/>
          <w:sz w:val="24"/>
          <w:szCs w:val="24"/>
        </w:rPr>
      </w:pPr>
    </w:p>
    <w:p w14:paraId="00000152"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S’accorder sur les modalités du parcours d’accompagnement : </w:t>
      </w:r>
      <w:r>
        <w:rPr>
          <w:rFonts w:ascii="Times New Roman" w:eastAsia="Times New Roman" w:hAnsi="Times New Roman" w:cs="Times New Roman"/>
          <w:sz w:val="24"/>
          <w:szCs w:val="24"/>
        </w:rPr>
        <w:t xml:space="preserve">une politique d’hospitalité d’inspiration féministe se traduit par une horizontalité et une réciprocité dans chaque échange : </w:t>
      </w:r>
      <w:r>
        <w:rPr>
          <w:rFonts w:ascii="Times New Roman" w:eastAsia="Times New Roman" w:hAnsi="Times New Roman" w:cs="Times New Roman"/>
          <w:i/>
          <w:iCs/>
          <w:sz w:val="24"/>
          <w:szCs w:val="24"/>
        </w:rPr>
        <w:t xml:space="preserve">accompagner plutôt que prendre en charge. </w:t>
      </w:r>
      <w:r>
        <w:rPr>
          <w:rFonts w:ascii="Times New Roman" w:eastAsia="Times New Roman" w:hAnsi="Times New Roman" w:cs="Times New Roman"/>
          <w:sz w:val="24"/>
          <w:szCs w:val="24"/>
        </w:rPr>
        <w:t xml:space="preserve">Protocoliser ce parcours d'accompagnement permettrait de conserver les apports de la pluridisciplinarité professionnelle et de la rendre transmissible. </w:t>
      </w:r>
    </w:p>
    <w:p w14:paraId="00000153" w14:textId="77777777" w:rsidR="004E766C" w:rsidRDefault="004E766C">
      <w:pPr>
        <w:spacing w:line="240" w:lineRule="auto"/>
        <w:jc w:val="both"/>
        <w:rPr>
          <w:rFonts w:ascii="Times New Roman" w:eastAsia="Times New Roman" w:hAnsi="Times New Roman" w:cs="Times New Roman"/>
          <w:b/>
          <w:bCs/>
          <w:sz w:val="24"/>
          <w:szCs w:val="24"/>
        </w:rPr>
      </w:pPr>
    </w:p>
    <w:p w14:paraId="00000154"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Faire culture commune au sein de l'équipe professionnelle : </w:t>
      </w:r>
      <w:r>
        <w:rPr>
          <w:rFonts w:ascii="Times New Roman" w:eastAsia="Times New Roman" w:hAnsi="Times New Roman" w:cs="Times New Roman"/>
          <w:sz w:val="24"/>
          <w:szCs w:val="24"/>
        </w:rPr>
        <w:t>Une politique d’hospitalité ajustée aux besoins de chaque bénéficiaire nécessite une atmosphère saine au sein de l'équipe. Le bon fonctionnement de la MDF passe par la mise en place d’un refuge d’</w:t>
      </w:r>
      <w:proofErr w:type="spellStart"/>
      <w:r>
        <w:rPr>
          <w:rFonts w:ascii="Times New Roman" w:eastAsia="Times New Roman" w:hAnsi="Times New Roman" w:cs="Times New Roman"/>
          <w:sz w:val="24"/>
          <w:szCs w:val="24"/>
        </w:rPr>
        <w:t>inpiration</w:t>
      </w:r>
      <w:proofErr w:type="spellEnd"/>
      <w:r>
        <w:rPr>
          <w:rFonts w:ascii="Times New Roman" w:eastAsia="Times New Roman" w:hAnsi="Times New Roman" w:cs="Times New Roman"/>
          <w:sz w:val="24"/>
          <w:szCs w:val="24"/>
        </w:rPr>
        <w:t xml:space="preserve"> féministe pour les professionnelles avant tout. Il nous semble nécessaire de prendre soin de celles qui prennent soin. </w:t>
      </w:r>
    </w:p>
    <w:p w14:paraId="00000155" w14:textId="77777777" w:rsidR="004E766C" w:rsidRDefault="004E766C">
      <w:pPr>
        <w:spacing w:line="240" w:lineRule="auto"/>
        <w:jc w:val="both"/>
        <w:rPr>
          <w:rFonts w:ascii="Times New Roman" w:eastAsia="Times New Roman" w:hAnsi="Times New Roman" w:cs="Times New Roman"/>
          <w:sz w:val="24"/>
          <w:szCs w:val="24"/>
        </w:rPr>
      </w:pPr>
    </w:p>
    <w:p w14:paraId="00000156"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 partir des points saillants de la politique d’hospitalité de la Maison des Femmes de Lyon définis ci-dessus, et en nous basant sur l’ensemble de nos travaux empiriques et de littérature, voici le détail de la charte que nous vous proposons.</w:t>
      </w:r>
    </w:p>
    <w:p w14:paraId="00000157" w14:textId="77777777" w:rsidR="004E766C" w:rsidRDefault="004E766C">
      <w:pPr>
        <w:spacing w:line="240" w:lineRule="auto"/>
        <w:jc w:val="both"/>
        <w:rPr>
          <w:rFonts w:ascii="Times New Roman" w:eastAsia="Times New Roman" w:hAnsi="Times New Roman" w:cs="Times New Roman"/>
          <w:sz w:val="24"/>
          <w:szCs w:val="24"/>
        </w:rPr>
      </w:pPr>
    </w:p>
    <w:p w14:paraId="00000158" w14:textId="77777777" w:rsidR="004E766C" w:rsidRDefault="00000000">
      <w:pPr>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Avant de vous souhaiter une bonne lecture, nous tenions à préciser que cette charte s’inspire de pratiques, pour une grande partie, déjà existantes au sein de la Maison des Femmes de Lyon. Le travail que nous proposons consiste avant tout en une tentative de protocolisation de la politique d’hospitalité de la structure afin de la rendre intelligible et transmissible aux professionnelles entrantes. </w:t>
      </w:r>
    </w:p>
    <w:p w14:paraId="00000159" w14:textId="77777777" w:rsidR="004E766C" w:rsidRDefault="004E766C">
      <w:pPr>
        <w:spacing w:line="240" w:lineRule="auto"/>
        <w:jc w:val="center"/>
        <w:rPr>
          <w:rFonts w:ascii="Times New Roman" w:eastAsia="Times New Roman" w:hAnsi="Times New Roman" w:cs="Times New Roman"/>
          <w:sz w:val="24"/>
          <w:szCs w:val="24"/>
        </w:rPr>
      </w:pPr>
    </w:p>
    <w:p w14:paraId="0000015A" w14:textId="77777777" w:rsidR="004E766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Bonne lecture ! </w:t>
      </w:r>
    </w:p>
    <w:p w14:paraId="0000015B" w14:textId="77777777" w:rsidR="004E766C" w:rsidRDefault="004E766C">
      <w:pPr>
        <w:spacing w:line="240" w:lineRule="auto"/>
        <w:jc w:val="both"/>
        <w:rPr>
          <w:rFonts w:ascii="Times New Roman" w:eastAsia="Times New Roman" w:hAnsi="Times New Roman" w:cs="Times New Roman"/>
          <w:sz w:val="24"/>
          <w:szCs w:val="24"/>
        </w:rPr>
      </w:pPr>
    </w:p>
    <w:p w14:paraId="0000015C" w14:textId="77777777" w:rsidR="004E766C" w:rsidRDefault="00000000">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Charte pour une culture commune de l'hospitalité au sein de la MDF</w:t>
      </w:r>
    </w:p>
    <w:p w14:paraId="0000015D" w14:textId="77777777" w:rsidR="004E766C" w:rsidRDefault="004E766C">
      <w:pPr>
        <w:spacing w:line="240" w:lineRule="auto"/>
        <w:jc w:val="center"/>
        <w:rPr>
          <w:rFonts w:ascii="Times New Roman" w:eastAsia="Times New Roman" w:hAnsi="Times New Roman" w:cs="Times New Roman"/>
          <w:b/>
          <w:bCs/>
          <w:sz w:val="24"/>
          <w:szCs w:val="24"/>
        </w:rPr>
      </w:pPr>
    </w:p>
    <w:p w14:paraId="0000015E" w14:textId="77777777" w:rsidR="004E766C" w:rsidRDefault="00000000">
      <w:pPr>
        <w:spacing w:line="240" w:lineRule="auto"/>
        <w:rPr>
          <w:rFonts w:ascii="Times New Roman" w:eastAsia="Times New Roman" w:hAnsi="Times New Roman" w:cs="Times New Roman"/>
          <w:b/>
          <w:bCs/>
          <w:sz w:val="24"/>
          <w:szCs w:val="24"/>
        </w:rPr>
      </w:pPr>
      <w:sdt>
        <w:sdtPr>
          <w:tag w:val="goog_rdk_1"/>
          <w:id w:val="324008197"/>
        </w:sdtPr>
        <w:sdtContent/>
      </w:sdt>
      <w:r>
        <w:rPr>
          <w:rFonts w:ascii="Times New Roman" w:eastAsia="Times New Roman" w:hAnsi="Times New Roman" w:cs="Times New Roman"/>
          <w:b/>
          <w:bCs/>
          <w:sz w:val="24"/>
          <w:szCs w:val="24"/>
        </w:rPr>
        <w:t xml:space="preserve">Sommaire </w:t>
      </w:r>
    </w:p>
    <w:p w14:paraId="0000015F" w14:textId="77777777" w:rsidR="004E766C" w:rsidRDefault="004E766C">
      <w:pPr>
        <w:spacing w:line="240" w:lineRule="auto"/>
        <w:jc w:val="both"/>
        <w:rPr>
          <w:rFonts w:ascii="Times New Roman" w:eastAsia="Times New Roman" w:hAnsi="Times New Roman" w:cs="Times New Roman"/>
          <w:b/>
          <w:bCs/>
          <w:sz w:val="24"/>
          <w:szCs w:val="24"/>
        </w:rPr>
      </w:pPr>
    </w:p>
    <w:p w14:paraId="00000160"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Les principes de base de l’hospitalité </w:t>
      </w:r>
    </w:p>
    <w:p w14:paraId="00000161"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 premier contact</w:t>
      </w:r>
    </w:p>
    <w:p w14:paraId="00000162"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Habiter le lieu</w:t>
      </w:r>
    </w:p>
    <w:p w14:paraId="00000163"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S’accorder sur le parcours d’accompagnement</w:t>
      </w:r>
    </w:p>
    <w:p w14:paraId="00000164"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Organiser une logistique au sein de la MDF</w:t>
      </w:r>
    </w:p>
    <w:p w14:paraId="00000165" w14:textId="77777777" w:rsidR="004E766C" w:rsidRDefault="00000000">
      <w:pPr>
        <w:numPr>
          <w:ilvl w:val="0"/>
          <w:numId w:val="31"/>
        </w:num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Créer une culture commune au sein de l'équipe professionnelle</w:t>
      </w:r>
    </w:p>
    <w:p w14:paraId="00000166" w14:textId="77777777" w:rsidR="004E766C" w:rsidRDefault="004E766C">
      <w:pPr>
        <w:spacing w:line="240" w:lineRule="auto"/>
        <w:jc w:val="both"/>
        <w:rPr>
          <w:rFonts w:ascii="Times New Roman" w:eastAsia="Times New Roman" w:hAnsi="Times New Roman" w:cs="Times New Roman"/>
          <w:b/>
          <w:bCs/>
          <w:sz w:val="24"/>
          <w:szCs w:val="24"/>
        </w:rPr>
      </w:pPr>
    </w:p>
    <w:p w14:paraId="00000167" w14:textId="77777777" w:rsidR="004E766C" w:rsidRDefault="00000000">
      <w:pPr>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Les principes de base de l’hospitalité </w:t>
      </w:r>
    </w:p>
    <w:p w14:paraId="00000168" w14:textId="77777777" w:rsidR="004E766C" w:rsidRDefault="004E766C">
      <w:pPr>
        <w:spacing w:line="240" w:lineRule="auto"/>
        <w:jc w:val="both"/>
        <w:rPr>
          <w:rFonts w:ascii="Times New Roman" w:eastAsia="Times New Roman" w:hAnsi="Times New Roman" w:cs="Times New Roman"/>
          <w:b/>
          <w:bCs/>
          <w:sz w:val="24"/>
          <w:szCs w:val="24"/>
        </w:rPr>
      </w:pPr>
    </w:p>
    <w:p w14:paraId="00000169" w14:textId="77777777"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Notre état de l’art, nos entretiens, nos observations ainsi que notre analyse comparative avec les pratiques d’autres structures ont fait ressortir ces principes de base, qui sont sans cesse utilisés par les professionnelles pour accueillir. </w:t>
      </w:r>
    </w:p>
    <w:p w14:paraId="0000016A" w14:textId="77777777" w:rsidR="004E766C" w:rsidRDefault="004E766C">
      <w:pPr>
        <w:jc w:val="both"/>
        <w:rPr>
          <w:rFonts w:ascii="Times New Roman" w:eastAsia="Times New Roman" w:hAnsi="Times New Roman" w:cs="Times New Roman"/>
          <w:sz w:val="24"/>
          <w:szCs w:val="24"/>
        </w:rPr>
      </w:pPr>
    </w:p>
    <w:p w14:paraId="0000016B" w14:textId="77777777" w:rsidR="004E766C" w:rsidRDefault="00000000">
      <w:pPr>
        <w:numPr>
          <w:ilvl w:val="0"/>
          <w:numId w:val="34"/>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Venir ouvrir la porte à la bénéficiaire. </w:t>
      </w:r>
    </w:p>
    <w:p w14:paraId="0000016C" w14:textId="77777777" w:rsidR="004E766C" w:rsidRDefault="00000000">
      <w:pPr>
        <w:numPr>
          <w:ilvl w:val="0"/>
          <w:numId w:val="34"/>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Adopter une posture avenante : sourire, regarder la bénéficiaire dans les yeux. </w:t>
      </w:r>
    </w:p>
    <w:p w14:paraId="0000016D" w14:textId="77777777" w:rsidR="004E766C" w:rsidRDefault="00000000">
      <w:pPr>
        <w:numPr>
          <w:ilvl w:val="0"/>
          <w:numId w:val="34"/>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 présenter en donnant son prénom et son rôle à la MDF. </w:t>
      </w:r>
    </w:p>
    <w:p w14:paraId="0000016E" w14:textId="77777777" w:rsidR="004E766C" w:rsidRDefault="00000000">
      <w:pPr>
        <w:numPr>
          <w:ilvl w:val="0"/>
          <w:numId w:val="34"/>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Proposer à boire ou à manger pour matérialiser l’idée d’un lieu « refuge ».</w:t>
      </w:r>
    </w:p>
    <w:p w14:paraId="0000016F" w14:textId="77777777" w:rsidR="004E766C" w:rsidRDefault="00000000">
      <w:pPr>
        <w:numPr>
          <w:ilvl w:val="0"/>
          <w:numId w:val="34"/>
        </w:numPr>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Garantir un accueil sécurisant avec la présence permanente d’une personne à l’accueil. </w:t>
      </w:r>
    </w:p>
    <w:p w14:paraId="00000170" w14:textId="77777777" w:rsidR="004E766C" w:rsidRDefault="00000000">
      <w:pPr>
        <w:numPr>
          <w:ilvl w:val="0"/>
          <w:numId w:val="34"/>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Garder un lieu « digne » (propreté, rangement) : la dignité du lieu est une forme de réparation symbolique.</w:t>
      </w:r>
    </w:p>
    <w:p w14:paraId="00000171" w14:textId="77777777" w:rsidR="004E766C" w:rsidRDefault="004E766C">
      <w:pPr>
        <w:shd w:val="clear" w:color="auto" w:fill="FFFFFF"/>
        <w:spacing w:after="200" w:line="240" w:lineRule="auto"/>
        <w:ind w:left="720"/>
        <w:jc w:val="both"/>
        <w:rPr>
          <w:rFonts w:ascii="Times New Roman" w:eastAsia="Times New Roman" w:hAnsi="Times New Roman" w:cs="Times New Roman"/>
          <w:sz w:val="24"/>
          <w:szCs w:val="24"/>
        </w:rPr>
      </w:pPr>
    </w:p>
    <w:p w14:paraId="00000172" w14:textId="77777777" w:rsidR="004E766C"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Le premier contact</w:t>
      </w:r>
    </w:p>
    <w:p w14:paraId="00000173" w14:textId="77777777" w:rsidR="004E766C" w:rsidRDefault="004E766C">
      <w:pPr>
        <w:rPr>
          <w:rFonts w:ascii="Times New Roman" w:eastAsia="Times New Roman" w:hAnsi="Times New Roman" w:cs="Times New Roman"/>
        </w:rPr>
      </w:pPr>
    </w:p>
    <w:p w14:paraId="00000174" w14:textId="77777777" w:rsidR="004E766C" w:rsidRDefault="00000000">
      <w:pPr>
        <w:shd w:val="clear" w:color="auto" w:fill="FFFFFF"/>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marque le début du parcours d’accompagnement d’une bénéficiaire à la MDF. Il doit donc refléter l'identité de la MDF dès les premiers instants.</w:t>
      </w:r>
    </w:p>
    <w:p w14:paraId="00000175" w14:textId="77777777" w:rsidR="004E766C" w:rsidRDefault="00000000">
      <w:pPr>
        <w:numPr>
          <w:ilvl w:val="0"/>
          <w:numId w:val="22"/>
        </w:numPr>
        <w:shd w:val="clear" w:color="auto" w:fill="FFFFFF"/>
        <w:spacing w:before="200"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Faire de la première prise de contact d’une bénéficiaire avec la MDF un moment de réflexion collective, impliquant l’ensemble des professionnelles de la MDF, afin de s’assurer de l’ajustement des besoins de la bénéficiaire à la proposition d’accompagnement de la structure. </w:t>
      </w:r>
    </w:p>
    <w:p w14:paraId="00000176" w14:textId="77777777" w:rsidR="004E766C" w:rsidRDefault="00000000">
      <w:pPr>
        <w:numPr>
          <w:ilvl w:val="0"/>
          <w:numId w:val="26"/>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Informer les bénéficiaires des grands principes et des étapes de l’accompagnement à la MDF : distinguer explicitement </w:t>
      </w:r>
      <w:r>
        <w:rPr>
          <w:rFonts w:ascii="Times New Roman" w:eastAsia="Times New Roman" w:hAnsi="Times New Roman" w:cs="Times New Roman"/>
          <w:b/>
          <w:bCs/>
          <w:sz w:val="24"/>
          <w:szCs w:val="24"/>
        </w:rPr>
        <w:t>accompagnement</w:t>
      </w:r>
      <w:r>
        <w:rPr>
          <w:rFonts w:ascii="Times New Roman" w:eastAsia="Times New Roman" w:hAnsi="Times New Roman" w:cs="Times New Roman"/>
          <w:sz w:val="24"/>
          <w:szCs w:val="24"/>
        </w:rPr>
        <w:t xml:space="preserve"> et </w:t>
      </w:r>
      <w:r>
        <w:rPr>
          <w:rFonts w:ascii="Times New Roman" w:eastAsia="Times New Roman" w:hAnsi="Times New Roman" w:cs="Times New Roman"/>
          <w:b/>
          <w:bCs/>
          <w:sz w:val="24"/>
          <w:szCs w:val="24"/>
        </w:rPr>
        <w:t xml:space="preserve">prise en charge </w:t>
      </w:r>
      <w:r>
        <w:rPr>
          <w:rFonts w:ascii="Times New Roman" w:eastAsia="Times New Roman" w:hAnsi="Times New Roman" w:cs="Times New Roman"/>
          <w:sz w:val="24"/>
          <w:szCs w:val="24"/>
        </w:rPr>
        <w:t xml:space="preserve">(distinction qui pourrait être reprise sur le site Internet de la MDF à titre informatif). </w:t>
      </w:r>
    </w:p>
    <w:p w14:paraId="00000177" w14:textId="77777777" w:rsidR="004E766C" w:rsidRDefault="00000000">
      <w:pPr>
        <w:numPr>
          <w:ilvl w:val="0"/>
          <w:numId w:val="26"/>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Accueillir les primo-arrivantes avec une attention particulière : un mot d'accueil, un livrable « cadeau » (qu’elles peuvent laisser sur place), un accompagnement vers les différents espaces du lieu.</w:t>
      </w:r>
    </w:p>
    <w:p w14:paraId="00000178" w14:textId="77777777" w:rsidR="004E766C" w:rsidRDefault="00000000">
      <w:pPr>
        <w:numPr>
          <w:ilvl w:val="0"/>
          <w:numId w:val="26"/>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Proposer un plan du lieu pour que les bénéficiaires puissent comprendre l’aménagement de la MDF ou faire une visite guidée du lieu, notamment pour qu’elles s’approprient la salle de repos et le salon de convivialité. </w:t>
      </w:r>
    </w:p>
    <w:p w14:paraId="00000179" w14:textId="77777777" w:rsidR="004E766C" w:rsidRDefault="00000000">
      <w:pPr>
        <w:numPr>
          <w:ilvl w:val="0"/>
          <w:numId w:val="26"/>
        </w:numPr>
        <w:shd w:val="clear" w:color="auto" w:fill="FFFFFF"/>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Se présenter en allant chercher la personne en salle d'attente et lui réexpliquer le parcours pour qu'elle puisse se repérer.</w:t>
      </w:r>
    </w:p>
    <w:p w14:paraId="0000017A" w14:textId="77777777" w:rsidR="004E766C" w:rsidRDefault="004E766C">
      <w:pPr>
        <w:spacing w:line="240" w:lineRule="auto"/>
        <w:ind w:left="720"/>
        <w:rPr>
          <w:rFonts w:ascii="Times New Roman" w:eastAsia="Times New Roman" w:hAnsi="Times New Roman" w:cs="Times New Roman"/>
          <w:sz w:val="24"/>
          <w:szCs w:val="24"/>
        </w:rPr>
      </w:pPr>
    </w:p>
    <w:p w14:paraId="0000017B" w14:textId="77777777" w:rsidR="004E766C" w:rsidRDefault="004E766C">
      <w:pPr>
        <w:spacing w:line="240" w:lineRule="auto"/>
        <w:ind w:left="720"/>
        <w:rPr>
          <w:rFonts w:ascii="Times New Roman" w:eastAsia="Times New Roman" w:hAnsi="Times New Roman" w:cs="Times New Roman"/>
          <w:sz w:val="24"/>
          <w:szCs w:val="24"/>
        </w:rPr>
      </w:pPr>
    </w:p>
    <w:p w14:paraId="0000017C" w14:textId="77777777" w:rsidR="004E766C" w:rsidRDefault="00000000">
      <w:pPr>
        <w:shd w:val="clear" w:color="auto" w:fill="FFFFFF"/>
        <w:spacing w:after="36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Proposition de plan à donner aux bénéficiaires</w:t>
      </w:r>
    </w:p>
    <w:p w14:paraId="0000017D" w14:textId="77777777" w:rsidR="004E766C"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028BC777" wp14:editId="476FD0EF">
            <wp:extent cx="4613438" cy="3107398"/>
            <wp:effectExtent l="12700" t="12700" r="12700" b="1270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a:stretch>
                      <a:fillRect/>
                    </a:stretch>
                  </pic:blipFill>
                  <pic:spPr>
                    <a:xfrm>
                      <a:off x="0" y="0"/>
                      <a:ext cx="4613438" cy="3107398"/>
                    </a:xfrm>
                    <a:prstGeom prst="rect">
                      <a:avLst/>
                    </a:prstGeom>
                    <a:ln w="12700">
                      <a:solidFill>
                        <a:srgbClr val="B45F06"/>
                      </a:solidFill>
                      <a:prstDash val="solid"/>
                    </a:ln>
                  </pic:spPr>
                </pic:pic>
              </a:graphicData>
            </a:graphic>
          </wp:inline>
        </w:drawing>
      </w:r>
    </w:p>
    <w:p w14:paraId="0000017E" w14:textId="77777777" w:rsidR="004E766C" w:rsidRDefault="004E766C">
      <w:pPr>
        <w:spacing w:line="240" w:lineRule="auto"/>
        <w:jc w:val="center"/>
        <w:rPr>
          <w:rFonts w:ascii="Times New Roman" w:eastAsia="Times New Roman" w:hAnsi="Times New Roman" w:cs="Times New Roman"/>
          <w:sz w:val="24"/>
          <w:szCs w:val="24"/>
        </w:rPr>
      </w:pPr>
    </w:p>
    <w:p w14:paraId="0000017F" w14:textId="77777777" w:rsidR="004E766C" w:rsidRDefault="004E766C">
      <w:pPr>
        <w:shd w:val="clear" w:color="auto" w:fill="FFFFFF"/>
        <w:rPr>
          <w:rFonts w:ascii="Times New Roman" w:eastAsia="Times New Roman" w:hAnsi="Times New Roman" w:cs="Times New Roman"/>
        </w:rPr>
      </w:pPr>
    </w:p>
    <w:p w14:paraId="00000180" w14:textId="77777777" w:rsidR="004E766C"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Habiter le lieu</w:t>
      </w:r>
    </w:p>
    <w:p w14:paraId="00000181" w14:textId="77777777" w:rsidR="004E766C" w:rsidRDefault="004E766C">
      <w:pPr>
        <w:rPr>
          <w:rFonts w:ascii="Times New Roman" w:eastAsia="Times New Roman" w:hAnsi="Times New Roman" w:cs="Times New Roman"/>
          <w:sz w:val="24"/>
          <w:szCs w:val="24"/>
        </w:rPr>
      </w:pPr>
    </w:p>
    <w:p w14:paraId="00000182" w14:textId="77777777" w:rsidR="004E766C" w:rsidRDefault="00000000">
      <w:pPr>
        <w:shd w:val="clear" w:color="auto" w:fill="FFFFFF"/>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Habiter c’est « être </w:t>
      </w:r>
      <w:proofErr w:type="spellStart"/>
      <w:r>
        <w:rPr>
          <w:rFonts w:ascii="Times New Roman" w:eastAsia="Times New Roman" w:hAnsi="Times New Roman" w:cs="Times New Roman"/>
          <w:sz w:val="24"/>
          <w:szCs w:val="24"/>
        </w:rPr>
        <w:t>présent·e</w:t>
      </w:r>
      <w:proofErr w:type="spellEnd"/>
      <w:r>
        <w:rPr>
          <w:rFonts w:ascii="Times New Roman" w:eastAsia="Times New Roman" w:hAnsi="Times New Roman" w:cs="Times New Roman"/>
          <w:sz w:val="24"/>
          <w:szCs w:val="24"/>
        </w:rPr>
        <w:t xml:space="preserve"> au monde et à autrui ». La MDF doit être un lieu qui permette aux bénéficiaires de rêver pour se restaurer.</w:t>
      </w:r>
    </w:p>
    <w:p w14:paraId="00000183" w14:textId="77777777" w:rsidR="004E766C" w:rsidRDefault="004E766C">
      <w:pPr>
        <w:spacing w:line="240" w:lineRule="auto"/>
        <w:rPr>
          <w:rFonts w:ascii="Times New Roman" w:eastAsia="Times New Roman" w:hAnsi="Times New Roman" w:cs="Times New Roman"/>
          <w:sz w:val="24"/>
          <w:szCs w:val="24"/>
        </w:rPr>
      </w:pPr>
    </w:p>
    <w:p w14:paraId="00000184" w14:textId="77777777" w:rsidR="004E766C" w:rsidRDefault="00000000">
      <w:pPr>
        <w:numPr>
          <w:ilvl w:val="0"/>
          <w:numId w:val="38"/>
        </w:numPr>
        <w:shd w:val="clear" w:color="auto" w:fill="FFFFFF"/>
        <w:spacing w:before="200"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Marcher à côté de la bénéficiaire (et non devant), utiliser des tables rondes et des dispositions de chaises </w:t>
      </w:r>
      <w:proofErr w:type="gramStart"/>
      <w:r>
        <w:rPr>
          <w:rFonts w:ascii="Times New Roman" w:eastAsia="Times New Roman" w:hAnsi="Times New Roman" w:cs="Times New Roman"/>
          <w:sz w:val="24"/>
          <w:szCs w:val="24"/>
        </w:rPr>
        <w:t>non « ascendantes »</w:t>
      </w:r>
      <w:proofErr w:type="gramEnd"/>
      <w:r>
        <w:rPr>
          <w:rFonts w:ascii="Times New Roman" w:eastAsia="Times New Roman" w:hAnsi="Times New Roman" w:cs="Times New Roman"/>
          <w:sz w:val="24"/>
          <w:szCs w:val="24"/>
        </w:rPr>
        <w:t>.</w:t>
      </w:r>
    </w:p>
    <w:p w14:paraId="00000185"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 pas systématiquement les raccompagner jusqu'à la sortie : proposer aux femmes de rester se poser après leur rendez-vous, d’habiter le lieu même hors du cadre de leurs rendez-vous. </w:t>
      </w:r>
    </w:p>
    <w:p w14:paraId="00000186"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Rendre accessibles et visibles les espaces sous-utilisés (salon de convivialité) et les « services » disponibles (porte-manteau, espace nurserie) par une signalétique explicite. </w:t>
      </w:r>
    </w:p>
    <w:p w14:paraId="00000187"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Disposer des mots « servez-vous » dans la salle d'attente pour que les bénéficiaires se sentent à l’aise et légitimes à occuper l'espace.</w:t>
      </w:r>
    </w:p>
    <w:p w14:paraId="00000188"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Rendre la mise à disposition d’informations plus accessible (séparer le tableau en liège en sections, digitaliser avec des QR codes, utiliser les normes FALC). </w:t>
      </w:r>
    </w:p>
    <w:p w14:paraId="00000189"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Proposer des casques avec options d’écoute de musiques et de podcast sélectionnés en amont. Se baser sur le tableau de recommandations podcast / lectures présent dans l’espace de réunion des professionnelles.</w:t>
      </w:r>
    </w:p>
    <w:p w14:paraId="0000018A"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Proposer des playlists de méditation ou autres musiques qui pourraient être des playlists « refuges » : exemple de l’instrument oud… </w:t>
      </w:r>
    </w:p>
    <w:p w14:paraId="0000018B" w14:textId="77777777" w:rsidR="004E766C" w:rsidRDefault="00000000">
      <w:pPr>
        <w:numPr>
          <w:ilvl w:val="0"/>
          <w:numId w:val="38"/>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Encourager la production d'œuvres par les bénéficiaires ou leur proposer de déposer un objet qui leur tient à </w:t>
      </w:r>
      <w:proofErr w:type="spellStart"/>
      <w:r>
        <w:rPr>
          <w:rFonts w:ascii="Times New Roman" w:eastAsia="Times New Roman" w:hAnsi="Times New Roman" w:cs="Times New Roman"/>
          <w:sz w:val="24"/>
          <w:szCs w:val="24"/>
        </w:rPr>
        <w:t>coeur</w:t>
      </w:r>
      <w:proofErr w:type="spellEnd"/>
      <w:r>
        <w:rPr>
          <w:rFonts w:ascii="Times New Roman" w:eastAsia="Times New Roman" w:hAnsi="Times New Roman" w:cs="Times New Roman"/>
          <w:sz w:val="24"/>
          <w:szCs w:val="24"/>
        </w:rPr>
        <w:t xml:space="preserve"> </w:t>
      </w:r>
    </w:p>
    <w:p w14:paraId="0000018C" w14:textId="77777777" w:rsidR="004E766C" w:rsidRDefault="00000000">
      <w:pPr>
        <w:numPr>
          <w:ilvl w:val="0"/>
          <w:numId w:val="3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Augmenter la fréquence des déjeuners partagés « brunchs » et des ateliers qui participent largement à la construction d’une culture commune entre bénéficiaires et professionnelles </w:t>
      </w:r>
    </w:p>
    <w:p w14:paraId="0000018D" w14:textId="77777777" w:rsidR="004E766C" w:rsidRDefault="00000000">
      <w:pPr>
        <w:numPr>
          <w:ilvl w:val="0"/>
          <w:numId w:val="3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Développer la participation active des bénéficiaires aux différents ateliers artistiques, groupes de parole… </w:t>
      </w:r>
    </w:p>
    <w:p w14:paraId="0000018E" w14:textId="77777777" w:rsidR="004E766C" w:rsidRDefault="00000000">
      <w:pPr>
        <w:numPr>
          <w:ilvl w:val="0"/>
          <w:numId w:val="3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Développer la pratique du sport : collaborer avec l’association Allure par exemple.</w:t>
      </w:r>
    </w:p>
    <w:p w14:paraId="0000018F" w14:textId="77777777" w:rsidR="004E766C" w:rsidRDefault="00000000">
      <w:pPr>
        <w:numPr>
          <w:ilvl w:val="0"/>
          <w:numId w:val="3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Afficher sur les murs de la MDF des graphies photos. Photographier, par exemple, les mains des professionnelles et des bénéficiaires suffisamment intimes pour être vues comme des attributs « refuges » tout en restant anonymes. </w:t>
      </w:r>
    </w:p>
    <w:p w14:paraId="00000190" w14:textId="77777777" w:rsidR="004E766C" w:rsidRDefault="00000000">
      <w:pPr>
        <w:numPr>
          <w:ilvl w:val="0"/>
          <w:numId w:val="38"/>
        </w:numPr>
        <w:spacing w:before="20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Proposer des livres de photographies ou d’art choisies en fonction de l’identité de la structure : </w:t>
      </w:r>
      <w:r>
        <w:rPr>
          <w:rFonts w:ascii="Times New Roman" w:eastAsia="Times New Roman" w:hAnsi="Times New Roman" w:cs="Times New Roman"/>
          <w:i/>
          <w:iCs/>
          <w:sz w:val="24"/>
          <w:szCs w:val="24"/>
        </w:rPr>
        <w:t>Les matriarches</w:t>
      </w:r>
      <w:r>
        <w:rPr>
          <w:rFonts w:ascii="Times New Roman" w:eastAsia="Times New Roman" w:hAnsi="Times New Roman" w:cs="Times New Roman"/>
          <w:sz w:val="24"/>
          <w:szCs w:val="24"/>
        </w:rPr>
        <w:t xml:space="preserve"> de Nadia </w:t>
      </w:r>
      <w:proofErr w:type="spellStart"/>
      <w:r>
        <w:rPr>
          <w:rFonts w:ascii="Times New Roman" w:eastAsia="Times New Roman" w:hAnsi="Times New Roman" w:cs="Times New Roman"/>
          <w:sz w:val="24"/>
          <w:szCs w:val="24"/>
        </w:rPr>
        <w:t>Ferroukhi</w:t>
      </w:r>
      <w:proofErr w:type="spellEnd"/>
      <w:r>
        <w:rPr>
          <w:rFonts w:ascii="Times New Roman" w:eastAsia="Times New Roman" w:hAnsi="Times New Roman" w:cs="Times New Roman"/>
          <w:sz w:val="24"/>
          <w:szCs w:val="24"/>
        </w:rPr>
        <w:t xml:space="preserve">. </w:t>
      </w:r>
    </w:p>
    <w:p w14:paraId="00000191" w14:textId="77777777" w:rsidR="004E766C" w:rsidRDefault="00000000">
      <w:pPr>
        <w:spacing w:line="240" w:lineRule="auto"/>
        <w:ind w:left="720"/>
        <w:rPr>
          <w:rFonts w:ascii="Times New Roman" w:eastAsia="Times New Roman" w:hAnsi="Times New Roman" w:cs="Times New Roman"/>
          <w:sz w:val="24"/>
          <w:szCs w:val="24"/>
        </w:rPr>
      </w:pPr>
      <w:r>
        <w:rPr>
          <w:noProof/>
        </w:rPr>
        <w:lastRenderedPageBreak/>
        <w:drawing>
          <wp:anchor distT="114300" distB="114300" distL="114300" distR="114300" simplePos="0" relativeHeight="251658240" behindDoc="0" locked="0" layoutInCell="1" hidden="0" allowOverlap="1" wp14:anchorId="27AF3D37" wp14:editId="08CC300A">
            <wp:simplePos x="0" y="0"/>
            <wp:positionH relativeFrom="column">
              <wp:posOffset>183668</wp:posOffset>
            </wp:positionH>
            <wp:positionV relativeFrom="paragraph">
              <wp:posOffset>285750</wp:posOffset>
            </wp:positionV>
            <wp:extent cx="2957642" cy="2228825"/>
            <wp:effectExtent l="0" t="0" r="0" b="0"/>
            <wp:wrapSquare wrapText="bothSides" distT="114300" distB="114300" distL="114300" distR="114300"/>
            <wp:docPr id="43"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21"/>
                    <a:srcRect/>
                    <a:stretch>
                      <a:fillRect/>
                    </a:stretch>
                  </pic:blipFill>
                  <pic:spPr>
                    <a:xfrm>
                      <a:off x="0" y="0"/>
                      <a:ext cx="2957642" cy="222882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14:anchorId="1C5BA6EF" wp14:editId="031FD441">
            <wp:simplePos x="0" y="0"/>
            <wp:positionH relativeFrom="column">
              <wp:posOffset>3459642</wp:posOffset>
            </wp:positionH>
            <wp:positionV relativeFrom="paragraph">
              <wp:posOffset>285750</wp:posOffset>
            </wp:positionV>
            <wp:extent cx="1569558" cy="2266950"/>
            <wp:effectExtent l="0" t="0" r="0" b="0"/>
            <wp:wrapSquare wrapText="bothSides" distT="114300" distB="114300" distL="114300" distR="114300"/>
            <wp:docPr id="42"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22"/>
                    <a:srcRect/>
                    <a:stretch>
                      <a:fillRect/>
                    </a:stretch>
                  </pic:blipFill>
                  <pic:spPr>
                    <a:xfrm>
                      <a:off x="0" y="0"/>
                      <a:ext cx="1569558" cy="2266950"/>
                    </a:xfrm>
                    <a:prstGeom prst="rect">
                      <a:avLst/>
                    </a:prstGeom>
                    <a:ln/>
                  </pic:spPr>
                </pic:pic>
              </a:graphicData>
            </a:graphic>
          </wp:anchor>
        </w:drawing>
      </w:r>
    </w:p>
    <w:p w14:paraId="00000192" w14:textId="77777777" w:rsidR="004E766C" w:rsidRDefault="004E766C">
      <w:pPr>
        <w:shd w:val="clear" w:color="auto" w:fill="FFFFFF"/>
        <w:spacing w:after="360" w:line="240" w:lineRule="auto"/>
        <w:jc w:val="center"/>
        <w:rPr>
          <w:rFonts w:ascii="Times New Roman" w:eastAsia="Times New Roman" w:hAnsi="Times New Roman" w:cs="Times New Roman"/>
          <w:sz w:val="24"/>
          <w:szCs w:val="24"/>
        </w:rPr>
      </w:pPr>
    </w:p>
    <w:p w14:paraId="00000193" w14:textId="77777777" w:rsidR="004E766C" w:rsidRDefault="004E766C">
      <w:pPr>
        <w:shd w:val="clear" w:color="auto" w:fill="FFFFFF"/>
        <w:spacing w:after="360" w:line="240" w:lineRule="auto"/>
        <w:jc w:val="center"/>
        <w:rPr>
          <w:rFonts w:ascii="Times New Roman" w:eastAsia="Times New Roman" w:hAnsi="Times New Roman" w:cs="Times New Roman"/>
          <w:sz w:val="24"/>
          <w:szCs w:val="24"/>
        </w:rPr>
      </w:pPr>
    </w:p>
    <w:p w14:paraId="00000194" w14:textId="77777777" w:rsidR="004E766C" w:rsidRDefault="004E766C">
      <w:pPr>
        <w:shd w:val="clear" w:color="auto" w:fill="FFFFFF"/>
        <w:rPr>
          <w:rFonts w:ascii="Times New Roman" w:eastAsia="Times New Roman" w:hAnsi="Times New Roman" w:cs="Times New Roman"/>
        </w:rPr>
      </w:pPr>
    </w:p>
    <w:p w14:paraId="00000195" w14:textId="77777777" w:rsidR="004E766C" w:rsidRDefault="004E766C">
      <w:pPr>
        <w:shd w:val="clear" w:color="auto" w:fill="FFFFFF"/>
        <w:rPr>
          <w:rFonts w:ascii="Times New Roman" w:eastAsia="Times New Roman" w:hAnsi="Times New Roman" w:cs="Times New Roman"/>
          <w:b/>
          <w:bCs/>
          <w:sz w:val="24"/>
          <w:szCs w:val="24"/>
        </w:rPr>
      </w:pPr>
    </w:p>
    <w:p w14:paraId="00000196" w14:textId="77777777" w:rsidR="004E766C" w:rsidRDefault="004E766C">
      <w:pPr>
        <w:shd w:val="clear" w:color="auto" w:fill="FFFFFF"/>
        <w:rPr>
          <w:rFonts w:ascii="Times New Roman" w:eastAsia="Times New Roman" w:hAnsi="Times New Roman" w:cs="Times New Roman"/>
          <w:b/>
          <w:bCs/>
          <w:sz w:val="24"/>
          <w:szCs w:val="24"/>
        </w:rPr>
      </w:pPr>
    </w:p>
    <w:p w14:paraId="00000197" w14:textId="77777777" w:rsidR="004E766C" w:rsidRDefault="004E766C">
      <w:pPr>
        <w:shd w:val="clear" w:color="auto" w:fill="FFFFFF"/>
        <w:rPr>
          <w:rFonts w:ascii="Times New Roman" w:eastAsia="Times New Roman" w:hAnsi="Times New Roman" w:cs="Times New Roman"/>
          <w:b/>
          <w:bCs/>
          <w:sz w:val="24"/>
          <w:szCs w:val="24"/>
        </w:rPr>
      </w:pPr>
    </w:p>
    <w:p w14:paraId="00000198" w14:textId="77777777" w:rsidR="004E766C" w:rsidRDefault="004E766C">
      <w:pPr>
        <w:shd w:val="clear" w:color="auto" w:fill="FFFFFF"/>
        <w:rPr>
          <w:rFonts w:ascii="Times New Roman" w:eastAsia="Times New Roman" w:hAnsi="Times New Roman" w:cs="Times New Roman"/>
          <w:b/>
          <w:bCs/>
          <w:sz w:val="24"/>
          <w:szCs w:val="24"/>
        </w:rPr>
      </w:pPr>
    </w:p>
    <w:p w14:paraId="00000199" w14:textId="77777777" w:rsidR="004E766C"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S’accorder sur le parcours d’accompagnement</w:t>
      </w:r>
    </w:p>
    <w:p w14:paraId="0000019A" w14:textId="77777777" w:rsidR="004E766C" w:rsidRDefault="004E766C">
      <w:pPr>
        <w:rPr>
          <w:rFonts w:ascii="Times New Roman" w:eastAsia="Times New Roman" w:hAnsi="Times New Roman" w:cs="Times New Roman"/>
          <w:sz w:val="24"/>
          <w:szCs w:val="24"/>
        </w:rPr>
      </w:pPr>
    </w:p>
    <w:p w14:paraId="0000019B" w14:textId="77777777" w:rsidR="004E766C" w:rsidRDefault="00000000">
      <w:pPr>
        <w:shd w:val="clear" w:color="auto" w:fill="FFFFFF"/>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Une politique d’hospitalité féministe se traduit par une horizontalité et une réciprocité dans chaque échange : </w:t>
      </w:r>
      <w:r>
        <w:rPr>
          <w:rFonts w:ascii="Times New Roman" w:eastAsia="Times New Roman" w:hAnsi="Times New Roman" w:cs="Times New Roman"/>
          <w:i/>
          <w:iCs/>
          <w:sz w:val="24"/>
          <w:szCs w:val="24"/>
        </w:rPr>
        <w:t xml:space="preserve">accompagner plutôt que prendre en charge. </w:t>
      </w:r>
      <w:r>
        <w:rPr>
          <w:rFonts w:ascii="Times New Roman" w:eastAsia="Times New Roman" w:hAnsi="Times New Roman" w:cs="Times New Roman"/>
          <w:sz w:val="24"/>
          <w:szCs w:val="24"/>
        </w:rPr>
        <w:t xml:space="preserve">Par ailleurs, protocoliser ce parcours d'accompagnement permet de conserver les apports de la pluridisciplinarité professionnelle. </w:t>
      </w:r>
    </w:p>
    <w:p w14:paraId="0000019C" w14:textId="77777777" w:rsidR="004E766C" w:rsidRDefault="00000000">
      <w:pPr>
        <w:numPr>
          <w:ilvl w:val="0"/>
          <w:numId w:val="19"/>
        </w:numPr>
        <w:shd w:val="clear" w:color="auto" w:fill="FFFFFF"/>
        <w:spacing w:before="200"/>
        <w:rPr>
          <w:rFonts w:ascii="Times New Roman" w:eastAsia="Times New Roman" w:hAnsi="Times New Roman" w:cs="Times New Roman"/>
        </w:rPr>
      </w:pPr>
      <w:r>
        <w:rPr>
          <w:rFonts w:ascii="Times New Roman" w:eastAsia="Times New Roman" w:hAnsi="Times New Roman" w:cs="Times New Roman"/>
          <w:sz w:val="24"/>
          <w:szCs w:val="24"/>
        </w:rPr>
        <w:t xml:space="preserve">Privilégier l'information au conseil : transmettre des clés juridiques, médicales et sociales pour restaurer le pouvoir d'agir des bénéficiaires. Proposer sans contraindre. </w:t>
      </w:r>
    </w:p>
    <w:p w14:paraId="0000019D" w14:textId="77777777" w:rsidR="004E766C" w:rsidRDefault="00000000">
      <w:pPr>
        <w:numPr>
          <w:ilvl w:val="0"/>
          <w:numId w:val="55"/>
        </w:numPr>
        <w:spacing w:before="200" w:line="240" w:lineRule="auto"/>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privilégier</w:t>
      </w:r>
      <w:proofErr w:type="gramEnd"/>
      <w:r>
        <w:rPr>
          <w:rFonts w:ascii="Times New Roman" w:eastAsia="Times New Roman" w:hAnsi="Times New Roman" w:cs="Times New Roman"/>
          <w:sz w:val="24"/>
          <w:szCs w:val="24"/>
        </w:rPr>
        <w:t xml:space="preserve"> les formules</w:t>
      </w:r>
      <w:r>
        <w:rPr>
          <w:rFonts w:ascii="Times New Roman" w:eastAsia="Times New Roman" w:hAnsi="Times New Roman" w:cs="Times New Roman"/>
          <w:i/>
          <w:iCs/>
          <w:sz w:val="24"/>
          <w:szCs w:val="24"/>
        </w:rPr>
        <w:t xml:space="preserve"> « vous pourriez faire (...), il est possible de (...), vous avez le choix de (...) » </w:t>
      </w:r>
      <w:r>
        <w:rPr>
          <w:rFonts w:ascii="Times New Roman" w:eastAsia="Times New Roman" w:hAnsi="Times New Roman" w:cs="Times New Roman"/>
          <w:sz w:val="24"/>
          <w:szCs w:val="24"/>
        </w:rPr>
        <w:t xml:space="preserve">aux formules plus dirigistes </w:t>
      </w:r>
      <w:r>
        <w:rPr>
          <w:rFonts w:ascii="Times New Roman" w:eastAsia="Times New Roman" w:hAnsi="Times New Roman" w:cs="Times New Roman"/>
          <w:i/>
          <w:iCs/>
          <w:sz w:val="24"/>
          <w:szCs w:val="24"/>
        </w:rPr>
        <w:t>« vous devez (...), il faut que (...) »</w:t>
      </w:r>
    </w:p>
    <w:p w14:paraId="0000019E" w14:textId="77777777" w:rsidR="004E766C" w:rsidRDefault="00000000">
      <w:pPr>
        <w:numPr>
          <w:ilvl w:val="0"/>
          <w:numId w:val="19"/>
        </w:numPr>
        <w:shd w:val="clear" w:color="auto" w:fill="FFFFFF"/>
        <w:spacing w:before="200"/>
        <w:rPr>
          <w:rFonts w:ascii="Times New Roman" w:eastAsia="Times New Roman" w:hAnsi="Times New Roman" w:cs="Times New Roman"/>
          <w:sz w:val="24"/>
          <w:szCs w:val="24"/>
        </w:rPr>
      </w:pPr>
      <w:r>
        <w:rPr>
          <w:rFonts w:ascii="Times New Roman" w:eastAsia="Times New Roman" w:hAnsi="Times New Roman" w:cs="Times New Roman"/>
          <w:sz w:val="24"/>
          <w:szCs w:val="24"/>
        </w:rPr>
        <w:t>Utiliser des outils visuels comme le schéma du cycle de la violence pour accompagner la compréhension et la conscientisation.</w:t>
      </w:r>
    </w:p>
    <w:p w14:paraId="0000019F"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Former de façon transversale l'ensemble des professionnelles à l'accueil des personnes trans, des personnes en situation de handicap, des personnes racisées, des victimes de mutilations. </w:t>
      </w:r>
    </w:p>
    <w:p w14:paraId="000001A0"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Former à la santé communautaire : voir l’apprentissage comme une dynamique partagée dont les professionnelles peuvent se nourrir</w:t>
      </w:r>
    </w:p>
    <w:p w14:paraId="000001A1"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Former les professionnelles aux situations d’urgence. Engager une réflexion sur les limites de l’accueil, notamment dans les situations d’urgence en lien avec l’épuisement professionnel.</w:t>
      </w:r>
    </w:p>
    <w:p w14:paraId="000001A2"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Maintenir une posture auto-critique sur ses biais de domination : réflexivité intersectionnelle.</w:t>
      </w:r>
    </w:p>
    <w:p w14:paraId="000001A3"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Développer les entretiens en binôme pour croiser les disciplines et comprendre les pratiques des autres. </w:t>
      </w:r>
    </w:p>
    <w:p w14:paraId="000001A4" w14:textId="77777777" w:rsidR="004E766C" w:rsidRDefault="00000000">
      <w:pPr>
        <w:numPr>
          <w:ilvl w:val="0"/>
          <w:numId w:val="19"/>
        </w:numPr>
        <w:shd w:val="clear" w:color="auto" w:fill="FFFFFF"/>
        <w:spacing w:before="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Inclure l’équipe des professionnelles dans le processus de recrutement afin de s’accorder au niveau de la structure sur les valeurs importantes à avoir pour intégrer la MDF. </w:t>
      </w:r>
    </w:p>
    <w:p w14:paraId="000001A5" w14:textId="77777777" w:rsidR="004E766C" w:rsidRDefault="00000000">
      <w:pPr>
        <w:numPr>
          <w:ilvl w:val="0"/>
          <w:numId w:val="19"/>
        </w:numPr>
        <w:shd w:val="clear" w:color="auto" w:fill="FFFFFF"/>
        <w:spacing w:before="200"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Discuter l’utilisation du vouvoiement / tutoiement et de l’utilisation du prénom dans l’accompagnement. L’utilisation du vouvoiement pendant les rendez-vous et du tutoiement pendant les ateliers pourrait être envisagée.</w:t>
      </w:r>
    </w:p>
    <w:p w14:paraId="000001A6" w14:textId="77777777" w:rsidR="004E766C" w:rsidRDefault="004E766C">
      <w:pPr>
        <w:shd w:val="clear" w:color="auto" w:fill="FFFFFF"/>
        <w:rPr>
          <w:rFonts w:ascii="Times New Roman" w:eastAsia="Times New Roman" w:hAnsi="Times New Roman" w:cs="Times New Roman"/>
          <w:b/>
          <w:bCs/>
          <w:sz w:val="24"/>
          <w:szCs w:val="24"/>
        </w:rPr>
      </w:pPr>
    </w:p>
    <w:p w14:paraId="000001A7" w14:textId="77777777" w:rsidR="004E766C"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Organiser une logistique de travail optimale</w:t>
      </w:r>
    </w:p>
    <w:p w14:paraId="000001A8" w14:textId="77777777" w:rsidR="004E766C" w:rsidRDefault="00000000">
      <w:pPr>
        <w:shd w:val="clear" w:color="auto" w:fill="FFFFFF"/>
        <w:spacing w:before="200" w:after="360" w:line="240" w:lineRule="auto"/>
        <w:jc w:val="both"/>
        <w:rPr>
          <w:rFonts w:ascii="Times New Roman" w:eastAsia="Times New Roman" w:hAnsi="Times New Roman" w:cs="Times New Roman"/>
        </w:rPr>
      </w:pPr>
      <w:r>
        <w:rPr>
          <w:rFonts w:ascii="Times New Roman" w:eastAsia="Times New Roman" w:hAnsi="Times New Roman" w:cs="Times New Roman"/>
          <w:sz w:val="24"/>
          <w:szCs w:val="24"/>
        </w:rPr>
        <w:t xml:space="preserve">L’organisation globale de la Maison des Femmes peut constituer un levier pour favoriser la circulation des bonnes pratiques sur l’hospitalité pour les professionnelles. </w:t>
      </w:r>
    </w:p>
    <w:p w14:paraId="000001A9" w14:textId="77777777" w:rsidR="004E766C" w:rsidRDefault="00000000">
      <w:pPr>
        <w:numPr>
          <w:ilvl w:val="0"/>
          <w:numId w:val="19"/>
        </w:numPr>
        <w:shd w:val="clear" w:color="auto" w:fill="FFFFFF"/>
        <w:spacing w:before="200"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Créer des fiches de postes intégrant les principes clé de la politique d'hospitalité de la MDF : vocabulaire commun, postures, identité de structure </w:t>
      </w:r>
    </w:p>
    <w:p w14:paraId="000001AA" w14:textId="77777777" w:rsidR="004E766C" w:rsidRDefault="00000000">
      <w:pPr>
        <w:numPr>
          <w:ilvl w:val="0"/>
          <w:numId w:val="19"/>
        </w:numPr>
        <w:shd w:val="clear" w:color="auto" w:fill="FFFFFF"/>
        <w:spacing w:before="200"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Répertorier et mettre à disposition les comptes rendus écrits des formations et des réunions institutionnelles suivies pour permettre à toute l'équipe de s'en saisir malgré les indisponibilités : discuter collectivement en réunion de ce que l'on souhaite en retenir.</w:t>
      </w:r>
    </w:p>
    <w:p w14:paraId="000001AB" w14:textId="77777777" w:rsidR="004E766C" w:rsidRDefault="004E766C">
      <w:pPr>
        <w:shd w:val="clear" w:color="auto" w:fill="FFFFFF"/>
        <w:rPr>
          <w:rFonts w:ascii="Times New Roman" w:eastAsia="Times New Roman" w:hAnsi="Times New Roman" w:cs="Times New Roman"/>
          <w:b/>
          <w:bCs/>
          <w:sz w:val="24"/>
          <w:szCs w:val="24"/>
        </w:rPr>
      </w:pPr>
    </w:p>
    <w:p w14:paraId="000001AC" w14:textId="77777777" w:rsidR="004E766C" w:rsidRDefault="00000000">
      <w:pPr>
        <w:shd w:val="clear" w:color="auto" w:fill="FFFFFF"/>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Créer une culture commune au sein de l'équipe professionnelle</w:t>
      </w:r>
    </w:p>
    <w:p w14:paraId="000001AD" w14:textId="77777777" w:rsidR="004E766C" w:rsidRDefault="004E766C">
      <w:pPr>
        <w:rPr>
          <w:rFonts w:ascii="Times New Roman" w:eastAsia="Times New Roman" w:hAnsi="Times New Roman" w:cs="Times New Roman"/>
        </w:rPr>
      </w:pPr>
    </w:p>
    <w:p w14:paraId="000001AE" w14:textId="77777777" w:rsidR="004E766C" w:rsidRDefault="00000000">
      <w:pPr>
        <w:shd w:val="clear" w:color="auto" w:fill="FFFFFF"/>
        <w:spacing w:after="36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L'hospitalité nécessite une atmosphère saine au sein de l'équipe. Un refuge féministe doit aussi l’être pour les professionnelles.</w:t>
      </w:r>
    </w:p>
    <w:p w14:paraId="000001AF" w14:textId="77777777"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Organiser des temps d'échange pour mettre en place une analyse des pratiques professionnelles afin de mieux appréhender la spécificité de chaque professionnelle. </w:t>
      </w:r>
    </w:p>
    <w:p w14:paraId="000001B0" w14:textId="77777777"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Chaque professionnelle doit définir son rôle dans le parcours de soin et prendre connaissance du rôle des autres professionnelles : se situer et situer les autres pour garantir un parcours de reconstruction cohérent.</w:t>
      </w:r>
    </w:p>
    <w:p w14:paraId="000001B1" w14:textId="77777777"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Ritualiser des moments « hors cadre » entre professionnelles pour renforcer les liens humains et la culture commune de l’équipe.</w:t>
      </w:r>
    </w:p>
    <w:p w14:paraId="000001B2" w14:textId="77777777"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Prévenir l'épuisement professionnel et militant : mettre en place de façon semestrielle des espaces d’expression de types cellules psychologiques pour chaque professionnelle. </w:t>
      </w:r>
    </w:p>
    <w:p w14:paraId="000001B3" w14:textId="77777777"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Veiller à ce que la parole en réunion ne soit pas celle d’un rapport de force : mettre en place un système du bâton de parole, de post-it “foires aux questions” pour éviter les interruptions, privilégier l’écrit pour les réunions touchant à des sujets de désaccord. </w:t>
      </w:r>
    </w:p>
    <w:p w14:paraId="000001B4" w14:textId="29C325AA" w:rsidR="004E766C" w:rsidRDefault="00000000">
      <w:pPr>
        <w:numPr>
          <w:ilvl w:val="0"/>
          <w:numId w:val="18"/>
        </w:numPr>
        <w:shd w:val="clear" w:color="auto" w:fill="FFFFFF"/>
        <w:spacing w:after="20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Développer des recommandations culturelles entre collègues (podcasts, lectures).</w:t>
      </w:r>
    </w:p>
    <w:p w14:paraId="000001B5" w14:textId="3E88A294" w:rsidR="004E766C" w:rsidRDefault="006D32A4">
      <w:r>
        <w:rPr>
          <w:noProof/>
        </w:rPr>
        <w:lastRenderedPageBreak/>
        <w:drawing>
          <wp:anchor distT="0" distB="0" distL="0" distR="0" simplePos="0" relativeHeight="251660288" behindDoc="0" locked="0" layoutInCell="1" hidden="0" allowOverlap="1" wp14:anchorId="771E6247" wp14:editId="2BEED549">
            <wp:simplePos x="0" y="0"/>
            <wp:positionH relativeFrom="column">
              <wp:posOffset>668655</wp:posOffset>
            </wp:positionH>
            <wp:positionV relativeFrom="paragraph">
              <wp:posOffset>401320</wp:posOffset>
            </wp:positionV>
            <wp:extent cx="4794250" cy="4485005"/>
            <wp:effectExtent l="0" t="0" r="6350" b="0"/>
            <wp:wrapSquare wrapText="bothSides" distT="0" distB="0" distL="0" distR="0"/>
            <wp:docPr id="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l="19352" r="19352"/>
                    <a:stretch>
                      <a:fillRect/>
                    </a:stretch>
                  </pic:blipFill>
                  <pic:spPr>
                    <a:xfrm>
                      <a:off x="0" y="0"/>
                      <a:ext cx="4794250" cy="4485005"/>
                    </a:xfrm>
                    <a:prstGeom prst="rect">
                      <a:avLst/>
                    </a:prstGeom>
                    <a:ln/>
                  </pic:spPr>
                </pic:pic>
              </a:graphicData>
            </a:graphic>
            <wp14:sizeRelH relativeFrom="margin">
              <wp14:pctWidth>0</wp14:pctWidth>
            </wp14:sizeRelH>
            <wp14:sizeRelV relativeFrom="margin">
              <wp14:pctHeight>0</wp14:pctHeight>
            </wp14:sizeRelV>
          </wp:anchor>
        </w:drawing>
      </w:r>
    </w:p>
    <w:p w14:paraId="28AF4BDF" w14:textId="77777777" w:rsidR="006D32A4" w:rsidRDefault="006D32A4">
      <w:pPr>
        <w:pStyle w:val="Titre1"/>
        <w:jc w:val="center"/>
      </w:pPr>
      <w:bookmarkStart w:id="68" w:name="_heading=h.iyvnksww5wfu" w:colFirst="0" w:colLast="0"/>
      <w:bookmarkEnd w:id="68"/>
    </w:p>
    <w:p w14:paraId="2740B476" w14:textId="77777777" w:rsidR="006D32A4" w:rsidRDefault="006D32A4">
      <w:pPr>
        <w:pStyle w:val="Titre1"/>
        <w:jc w:val="center"/>
      </w:pPr>
    </w:p>
    <w:p w14:paraId="5AB72BC2" w14:textId="77777777" w:rsidR="006D32A4" w:rsidRDefault="006D32A4">
      <w:pPr>
        <w:pStyle w:val="Titre1"/>
        <w:jc w:val="center"/>
      </w:pPr>
    </w:p>
    <w:p w14:paraId="40524167" w14:textId="77777777" w:rsidR="006D32A4" w:rsidRDefault="006D32A4">
      <w:pPr>
        <w:pStyle w:val="Titre1"/>
        <w:jc w:val="center"/>
      </w:pPr>
    </w:p>
    <w:p w14:paraId="60130BAA" w14:textId="77777777" w:rsidR="006D32A4" w:rsidRDefault="006D32A4">
      <w:pPr>
        <w:pStyle w:val="Titre1"/>
        <w:jc w:val="center"/>
      </w:pPr>
    </w:p>
    <w:p w14:paraId="5F2EDE51" w14:textId="77777777" w:rsidR="006D32A4" w:rsidRDefault="006D32A4">
      <w:pPr>
        <w:pStyle w:val="Titre1"/>
        <w:jc w:val="center"/>
      </w:pPr>
    </w:p>
    <w:p w14:paraId="7BEDB621" w14:textId="77777777" w:rsidR="006D32A4" w:rsidRDefault="006D32A4">
      <w:pPr>
        <w:pStyle w:val="Titre1"/>
        <w:jc w:val="center"/>
      </w:pPr>
    </w:p>
    <w:p w14:paraId="3241D111" w14:textId="77777777" w:rsidR="006D32A4" w:rsidRDefault="006D32A4">
      <w:pPr>
        <w:pStyle w:val="Titre1"/>
        <w:jc w:val="center"/>
      </w:pPr>
    </w:p>
    <w:p w14:paraId="34CC31BD" w14:textId="77777777" w:rsidR="006D32A4" w:rsidRDefault="006D32A4" w:rsidP="006D32A4"/>
    <w:p w14:paraId="5730EB49" w14:textId="77777777" w:rsidR="006D32A4" w:rsidRDefault="006D32A4" w:rsidP="006D32A4"/>
    <w:p w14:paraId="64B0886D" w14:textId="77777777" w:rsidR="006D32A4" w:rsidRDefault="006D32A4" w:rsidP="006D32A4"/>
    <w:p w14:paraId="269A3F81" w14:textId="77777777" w:rsidR="006D32A4" w:rsidRDefault="006D32A4" w:rsidP="006D32A4"/>
    <w:p w14:paraId="6C56A30E" w14:textId="77777777" w:rsidR="006D32A4" w:rsidRDefault="006D32A4" w:rsidP="006D32A4"/>
    <w:p w14:paraId="4B9692E1" w14:textId="77777777" w:rsidR="006D32A4" w:rsidRDefault="006D32A4" w:rsidP="006D32A4"/>
    <w:p w14:paraId="58175199" w14:textId="77777777" w:rsidR="006D32A4" w:rsidRDefault="006D32A4" w:rsidP="006D32A4"/>
    <w:p w14:paraId="16F2C2B6" w14:textId="77777777" w:rsidR="006D32A4" w:rsidRDefault="006D32A4" w:rsidP="006D32A4"/>
    <w:p w14:paraId="6461F528" w14:textId="77777777" w:rsidR="006D32A4" w:rsidRDefault="006D32A4" w:rsidP="006D32A4"/>
    <w:p w14:paraId="2B3B1E45" w14:textId="77777777" w:rsidR="006D32A4" w:rsidRDefault="006D32A4" w:rsidP="006D32A4"/>
    <w:p w14:paraId="5BC29A29" w14:textId="77777777" w:rsidR="006D32A4" w:rsidRDefault="006D32A4" w:rsidP="006D32A4"/>
    <w:p w14:paraId="6114E466" w14:textId="77777777" w:rsidR="006D32A4" w:rsidRDefault="006D32A4" w:rsidP="006D32A4"/>
    <w:p w14:paraId="6367FE46" w14:textId="77777777" w:rsidR="006D32A4" w:rsidRDefault="006D32A4" w:rsidP="006D32A4"/>
    <w:p w14:paraId="437C3A21" w14:textId="77777777" w:rsidR="006D32A4" w:rsidRDefault="006D32A4" w:rsidP="006D32A4"/>
    <w:p w14:paraId="0CF5ED24" w14:textId="77777777" w:rsidR="006D32A4" w:rsidRDefault="006D32A4" w:rsidP="006D32A4"/>
    <w:p w14:paraId="31409BA7" w14:textId="77777777" w:rsidR="006D32A4" w:rsidRDefault="006D32A4" w:rsidP="006D32A4"/>
    <w:p w14:paraId="1B53D401" w14:textId="77777777" w:rsidR="006D32A4" w:rsidRDefault="006D32A4" w:rsidP="006D32A4"/>
    <w:p w14:paraId="5BFE8BCB" w14:textId="77777777" w:rsidR="006D32A4" w:rsidRDefault="006D32A4" w:rsidP="006D32A4"/>
    <w:p w14:paraId="43A773C0" w14:textId="77777777" w:rsidR="006D32A4" w:rsidRDefault="006D32A4" w:rsidP="006D32A4"/>
    <w:p w14:paraId="305F55FF" w14:textId="77777777" w:rsidR="006D32A4" w:rsidRDefault="006D32A4" w:rsidP="006D32A4"/>
    <w:p w14:paraId="579E32E4" w14:textId="77777777" w:rsidR="006D32A4" w:rsidRDefault="006D32A4" w:rsidP="006D32A4"/>
    <w:p w14:paraId="59347054" w14:textId="77777777" w:rsidR="006D32A4" w:rsidRDefault="006D32A4" w:rsidP="006D32A4"/>
    <w:p w14:paraId="0B470F90" w14:textId="77777777" w:rsidR="006D32A4" w:rsidRDefault="006D32A4" w:rsidP="006D32A4"/>
    <w:p w14:paraId="0D407D7E" w14:textId="77777777" w:rsidR="006D32A4" w:rsidRDefault="006D32A4" w:rsidP="006D32A4"/>
    <w:p w14:paraId="6C5F3182" w14:textId="77777777" w:rsidR="006D32A4" w:rsidRDefault="006D32A4" w:rsidP="006D32A4"/>
    <w:p w14:paraId="301FEEDF" w14:textId="77777777" w:rsidR="006D32A4" w:rsidRDefault="006D32A4" w:rsidP="006D32A4"/>
    <w:p w14:paraId="44D98604" w14:textId="77777777" w:rsidR="006D32A4" w:rsidRPr="006D32A4" w:rsidRDefault="006D32A4" w:rsidP="006D32A4"/>
    <w:p w14:paraId="000001B6" w14:textId="6971150F" w:rsidR="004E766C" w:rsidRDefault="00000000">
      <w:pPr>
        <w:pStyle w:val="Titre1"/>
        <w:jc w:val="center"/>
      </w:pPr>
      <w:r>
        <w:lastRenderedPageBreak/>
        <w:t>CONCLUSION</w:t>
      </w:r>
    </w:p>
    <w:p w14:paraId="000001B7" w14:textId="77777777" w:rsidR="004E766C" w:rsidRDefault="00000000">
      <w:pPr>
        <w:pBdr>
          <w:top w:val="nil"/>
          <w:left w:val="nil"/>
          <w:bottom w:val="nil"/>
          <w:right w:val="nil"/>
          <w:between w:val="nil"/>
        </w:pBdr>
        <w:spacing w:line="24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Notre recherche nous a permis de mettre en lien les notions mobilisées dans l’état de l’art avec les pratiques observées sur le terrain, afin de comprendre comment l’hospitalité se fabrique concrètement à la MDF, à travers des gestes, des paroles, des aménagements matériels et des formes de coopération entre professionnelles. L’analyse a montré que l’accueil à la MDF ne se réduit pas à une procédure technique, mais repose sur une culture de l’hospitalité par chacune, qui cherche à rendre possible un accompagnement horizontal et adapté aux parcours des femmes reçues.</w:t>
      </w:r>
    </w:p>
    <w:p w14:paraId="000001B8" w14:textId="77777777" w:rsidR="004E766C" w:rsidRDefault="004E766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000001B9" w14:textId="77777777" w:rsidR="004E766C"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Ce travail nous a </w:t>
      </w:r>
      <w:proofErr w:type="spellStart"/>
      <w:r>
        <w:rPr>
          <w:rFonts w:ascii="Times New Roman" w:eastAsia="Times New Roman" w:hAnsi="Times New Roman" w:cs="Times New Roman"/>
          <w:sz w:val="24"/>
          <w:szCs w:val="24"/>
        </w:rPr>
        <w:t>conduit.</w:t>
      </w:r>
      <w:proofErr w:type="gramStart"/>
      <w:r>
        <w:rPr>
          <w:rFonts w:ascii="Times New Roman" w:eastAsia="Times New Roman" w:hAnsi="Times New Roman" w:cs="Times New Roman"/>
          <w:sz w:val="24"/>
          <w:szCs w:val="24"/>
        </w:rPr>
        <w:t>e.s</w:t>
      </w:r>
      <w:proofErr w:type="spellEnd"/>
      <w:proofErr w:type="gramEnd"/>
      <w:r>
        <w:rPr>
          <w:rFonts w:ascii="Times New Roman" w:eastAsia="Times New Roman" w:hAnsi="Times New Roman" w:cs="Times New Roman"/>
          <w:sz w:val="24"/>
          <w:szCs w:val="24"/>
        </w:rPr>
        <w:t xml:space="preserve"> à interroger les tensions propres à une structure encore jeune, marquée par une pluralité de métiers et de professionnelles. Nos observations et entretiens ont mis en évidence la richesse de cette diversité, mais aussi la difficulté à construire une culture commune pleinement stabilisée dans un contexte où les professionnelles sont nombreuses à travailler à temps partiel et où l’organisation évolue rapidement. La question de l’hospitalité apparaît ainsi comme un processus toujours à refaire, qui suppose des ajustements constants et un effort collectif de coordination, de transmission et de réflexion.</w:t>
      </w:r>
    </w:p>
    <w:p w14:paraId="000001BA" w14:textId="77777777" w:rsidR="004E766C" w:rsidRDefault="004E766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000001BB" w14:textId="77777777" w:rsidR="004E766C" w:rsidRDefault="00000000">
      <w:pPr>
        <w:pBdr>
          <w:top w:val="nil"/>
          <w:left w:val="nil"/>
          <w:bottom w:val="nil"/>
          <w:right w:val="nil"/>
          <w:between w:val="nil"/>
        </w:pBd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 nous semble alors essentiel de poursuivre la formalisation de certains outils internes, notamment en améliorant les fiches de poste, afin de clarifier les rôles et de faciliter la transmission entre professionnelles. La question du recrutement et celle de la formation régulière apparaissent également centrales pour consolider une culture commune de l’hospitalité et renforcer les compétences face à la diversité des publics accueillis. De même, le développement de temps d’échanges plus fréquents entre professionnelles nous semble décisif pour soutenir la cohésion d’équipe et rendre visibles les savoirs informels qui font vivre le lieu au quotidien.</w:t>
      </w:r>
    </w:p>
    <w:p w14:paraId="000001BC" w14:textId="77777777" w:rsidR="004E766C" w:rsidRDefault="004E766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000001BD" w14:textId="2D25DED4" w:rsidR="004E766C"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Notre enquête comporte toutefois plusieurs limites qu’il nous paraît nécessaire de souligner. D’abord, le nombre important de sous-problématiques a parfois dispersé l’analyse, en rendant plus difficile la hiérarchisation de certains enjeux. De plus, le faible nombre de retours de bénéficiaires, l’absence d’entretiens avec l’ensemble des professionnelles et la difficulté à saisir une structure en évolution rapide limitent la portée générale de nos résultats. </w:t>
      </w:r>
    </w:p>
    <w:p w14:paraId="000001BE" w14:textId="77777777" w:rsidR="004E766C" w:rsidRDefault="004E766C">
      <w:pPr>
        <w:pBdr>
          <w:top w:val="nil"/>
          <w:left w:val="nil"/>
          <w:bottom w:val="nil"/>
          <w:right w:val="nil"/>
          <w:between w:val="nil"/>
        </w:pBdr>
        <w:spacing w:line="240" w:lineRule="auto"/>
        <w:jc w:val="both"/>
        <w:rPr>
          <w:rFonts w:ascii="Times New Roman" w:eastAsia="Times New Roman" w:hAnsi="Times New Roman" w:cs="Times New Roman"/>
          <w:sz w:val="24"/>
          <w:szCs w:val="24"/>
        </w:rPr>
      </w:pPr>
    </w:p>
    <w:p w14:paraId="000001BF" w14:textId="77777777" w:rsidR="004E766C" w:rsidRDefault="00000000">
      <w:pPr>
        <w:pBdr>
          <w:top w:val="nil"/>
          <w:left w:val="nil"/>
          <w:bottom w:val="nil"/>
          <w:right w:val="nil"/>
          <w:between w:val="nil"/>
        </w:pBdr>
        <w:spacing w:line="240" w:lineRule="auto"/>
        <w:jc w:val="both"/>
        <w:rPr>
          <w:sz w:val="28"/>
          <w:szCs w:val="28"/>
        </w:rPr>
      </w:pPr>
      <w:r>
        <w:rPr>
          <w:rFonts w:ascii="Times New Roman" w:eastAsia="Times New Roman" w:hAnsi="Times New Roman" w:cs="Times New Roman"/>
          <w:sz w:val="24"/>
          <w:szCs w:val="24"/>
        </w:rPr>
        <w:t>Enfin, notre travail invite à penser plus largement l’équilibre entre engagement militant et contraintes institutionnelles. La Maison des Femmes incarne un projet porté par des valeurs politiques et féministes, mais elle évolue aussi dans un cadre dépendant des subventions et des arbitrages publics. La question de sa pérennité, de son autonomie et de sa capacité à maintenir une hospitalité exigeante sans épuiser ses équipes constitue dès lors un enjeu majeur. C’est sans doute dans cette tension entre idéal inconditionnel et réalité organisationnelle que se joue l’avenir de la structure : faire de la Maison des Femmes un refuge durable suppose de prendre soin à la fois des bénéficiaires, des professionnelles et des conditions matérielles qui rendent cet accueil possible</w:t>
      </w:r>
      <w:r>
        <w:t xml:space="preserve">. </w:t>
      </w:r>
    </w:p>
    <w:p w14:paraId="000001C0" w14:textId="77777777" w:rsidR="004E766C" w:rsidRDefault="004E766C">
      <w:pPr>
        <w:pStyle w:val="Titre1"/>
        <w:jc w:val="center"/>
      </w:pPr>
      <w:bookmarkStart w:id="69" w:name="_heading=h.p8ib47gmru2z" w:colFirst="0" w:colLast="0"/>
      <w:bookmarkEnd w:id="69"/>
    </w:p>
    <w:p w14:paraId="000001C1" w14:textId="77777777" w:rsidR="004E766C" w:rsidRDefault="00000000">
      <w:pPr>
        <w:pStyle w:val="Titre1"/>
        <w:jc w:val="center"/>
      </w:pPr>
      <w:bookmarkStart w:id="70" w:name="_heading=h.pihkifbu803h" w:colFirst="0" w:colLast="0"/>
      <w:bookmarkEnd w:id="70"/>
      <w:r>
        <w:br w:type="page"/>
      </w:r>
    </w:p>
    <w:p w14:paraId="000001C2" w14:textId="77777777" w:rsidR="004E766C" w:rsidRDefault="00000000">
      <w:pPr>
        <w:pStyle w:val="Titre1"/>
        <w:jc w:val="center"/>
      </w:pPr>
      <w:bookmarkStart w:id="71" w:name="_heading=h.k5d8xui2ah8o" w:colFirst="0" w:colLast="0"/>
      <w:bookmarkEnd w:id="71"/>
      <w:r>
        <w:lastRenderedPageBreak/>
        <w:t xml:space="preserve">ANNEXES </w:t>
      </w:r>
    </w:p>
    <w:p w14:paraId="000001C3" w14:textId="77777777" w:rsidR="004E766C" w:rsidRDefault="004E766C"/>
    <w:p w14:paraId="000001C4" w14:textId="77777777" w:rsidR="004E766C" w:rsidRDefault="004E766C"/>
    <w:p w14:paraId="000001C5" w14:textId="77777777" w:rsidR="004E766C" w:rsidRDefault="004E766C"/>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4E766C" w14:paraId="030E0F75" w14:textId="77777777">
        <w:tc>
          <w:tcPr>
            <w:tcW w:w="9029" w:type="dxa"/>
            <w:tcBorders>
              <w:top w:val="dotted" w:sz="12" w:space="0" w:color="000000"/>
              <w:left w:val="dotted" w:sz="12" w:space="0" w:color="000000"/>
              <w:bottom w:val="dotted" w:sz="12" w:space="0" w:color="000000"/>
              <w:right w:val="dotted" w:sz="12" w:space="0" w:color="000000"/>
            </w:tcBorders>
            <w:tcMar>
              <w:top w:w="100" w:type="dxa"/>
              <w:left w:w="100" w:type="dxa"/>
              <w:bottom w:w="100" w:type="dxa"/>
              <w:right w:w="100" w:type="dxa"/>
            </w:tcMar>
          </w:tcPr>
          <w:sdt>
            <w:sdtPr>
              <w:tag w:val="goog_rdk_3"/>
              <w:id w:val="-1691150115"/>
              <w:lock w:val="contentLocked"/>
            </w:sdtPr>
            <w:sdtContent>
              <w:p w14:paraId="000001C6" w14:textId="77777777" w:rsidR="004E766C"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Sommaire : </w:t>
                </w:r>
              </w:p>
              <w:p w14:paraId="000001C7" w14:textId="77777777" w:rsidR="004E766C" w:rsidRDefault="004E766C">
                <w:pPr>
                  <w:jc w:val="both"/>
                  <w:rPr>
                    <w:rFonts w:ascii="Times New Roman" w:eastAsia="Times New Roman" w:hAnsi="Times New Roman" w:cs="Times New Roman"/>
                    <w:sz w:val="24"/>
                    <w:szCs w:val="24"/>
                  </w:rPr>
                </w:pPr>
              </w:p>
              <w:p w14:paraId="000001C8" w14:textId="77777777" w:rsidR="004E766C" w:rsidRDefault="00000000">
                <w:pPr>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Annexes 1 - 3 : </w:t>
                </w:r>
                <w:r>
                  <w:rPr>
                    <w:rFonts w:ascii="Times New Roman" w:eastAsia="Times New Roman" w:hAnsi="Times New Roman" w:cs="Times New Roman"/>
                    <w:sz w:val="24"/>
                    <w:szCs w:val="24"/>
                  </w:rPr>
                  <w:t xml:space="preserve">Grilles d’entretiens et observations </w:t>
                </w:r>
              </w:p>
              <w:p w14:paraId="000001C9" w14:textId="77777777" w:rsidR="004E766C" w:rsidRDefault="004E766C">
                <w:pPr>
                  <w:keepLines/>
                  <w:spacing w:line="240" w:lineRule="auto"/>
                  <w:jc w:val="both"/>
                  <w:rPr>
                    <w:rFonts w:ascii="Times New Roman" w:eastAsia="Times New Roman" w:hAnsi="Times New Roman" w:cs="Times New Roman"/>
                    <w:sz w:val="24"/>
                    <w:szCs w:val="24"/>
                  </w:rPr>
                </w:pPr>
              </w:p>
              <w:p w14:paraId="000001CA" w14:textId="77777777" w:rsidR="004E766C" w:rsidRDefault="00000000">
                <w:pPr>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Annexes 4 - 5 :</w:t>
                </w:r>
                <w:r>
                  <w:rPr>
                    <w:rFonts w:ascii="Times New Roman" w:eastAsia="Times New Roman" w:hAnsi="Times New Roman" w:cs="Times New Roman"/>
                    <w:sz w:val="24"/>
                    <w:szCs w:val="24"/>
                  </w:rPr>
                  <w:t xml:space="preserve"> Retranscriptions des entretiens avec les bénéficiaires de la MDF </w:t>
                </w:r>
              </w:p>
              <w:p w14:paraId="000001CB" w14:textId="77777777" w:rsidR="004E766C" w:rsidRDefault="004E766C">
                <w:pPr>
                  <w:keepLines/>
                  <w:spacing w:line="240" w:lineRule="auto"/>
                  <w:jc w:val="both"/>
                  <w:rPr>
                    <w:rFonts w:ascii="Times New Roman" w:eastAsia="Times New Roman" w:hAnsi="Times New Roman" w:cs="Times New Roman"/>
                    <w:sz w:val="24"/>
                    <w:szCs w:val="24"/>
                  </w:rPr>
                </w:pPr>
              </w:p>
              <w:p w14:paraId="000001CC" w14:textId="77777777" w:rsidR="004E766C" w:rsidRDefault="00000000">
                <w:pPr>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Annexes 6 - 9 :</w:t>
                </w:r>
                <w:r>
                  <w:rPr>
                    <w:rFonts w:ascii="Times New Roman" w:eastAsia="Times New Roman" w:hAnsi="Times New Roman" w:cs="Times New Roman"/>
                    <w:sz w:val="24"/>
                    <w:szCs w:val="24"/>
                  </w:rPr>
                  <w:t xml:space="preserve"> Retranscriptions des entretiens avec les professionnelles de la MDF</w:t>
                </w:r>
              </w:p>
              <w:p w14:paraId="000001CD" w14:textId="77777777" w:rsidR="004E766C" w:rsidRDefault="004E766C">
                <w:pPr>
                  <w:keepLines/>
                  <w:spacing w:line="240" w:lineRule="auto"/>
                  <w:jc w:val="both"/>
                  <w:rPr>
                    <w:rFonts w:ascii="Times New Roman" w:eastAsia="Times New Roman" w:hAnsi="Times New Roman" w:cs="Times New Roman"/>
                    <w:sz w:val="24"/>
                    <w:szCs w:val="24"/>
                  </w:rPr>
                </w:pPr>
              </w:p>
              <w:p w14:paraId="000001CE" w14:textId="77777777" w:rsidR="004E766C" w:rsidRDefault="00000000">
                <w:pPr>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Annexes 10 - 13 :</w:t>
                </w:r>
                <w:r>
                  <w:rPr>
                    <w:rFonts w:ascii="Times New Roman" w:eastAsia="Times New Roman" w:hAnsi="Times New Roman" w:cs="Times New Roman"/>
                    <w:sz w:val="24"/>
                    <w:szCs w:val="24"/>
                  </w:rPr>
                  <w:t xml:space="preserve"> Retranscriptions des rencontres avec des professionnelles de structures diverses</w:t>
                </w:r>
              </w:p>
              <w:p w14:paraId="000001CF" w14:textId="77777777" w:rsidR="004E766C" w:rsidRDefault="004E766C">
                <w:pPr>
                  <w:keepLines/>
                  <w:spacing w:line="240" w:lineRule="auto"/>
                  <w:jc w:val="both"/>
                  <w:rPr>
                    <w:rFonts w:ascii="Times New Roman" w:eastAsia="Times New Roman" w:hAnsi="Times New Roman" w:cs="Times New Roman"/>
                    <w:sz w:val="24"/>
                    <w:szCs w:val="24"/>
                  </w:rPr>
                </w:pPr>
              </w:p>
              <w:p w14:paraId="000001D0" w14:textId="77777777" w:rsidR="004E766C" w:rsidRDefault="00000000">
                <w:pPr>
                  <w:keepLines/>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Annexe 14 :</w:t>
                </w:r>
                <w:r>
                  <w:rPr>
                    <w:rFonts w:ascii="Times New Roman" w:eastAsia="Times New Roman" w:hAnsi="Times New Roman" w:cs="Times New Roman"/>
                    <w:sz w:val="24"/>
                    <w:szCs w:val="24"/>
                  </w:rPr>
                  <w:t xml:space="preserve"> Retranscriptions des observations faites au sein de la MDF </w:t>
                </w:r>
              </w:p>
              <w:p w14:paraId="000001D1" w14:textId="77777777" w:rsidR="004E766C" w:rsidRDefault="004E766C">
                <w:pPr>
                  <w:keepLines/>
                  <w:spacing w:line="240" w:lineRule="auto"/>
                  <w:jc w:val="both"/>
                  <w:rPr>
                    <w:rFonts w:ascii="Times New Roman" w:eastAsia="Times New Roman" w:hAnsi="Times New Roman" w:cs="Times New Roman"/>
                    <w:sz w:val="24"/>
                    <w:szCs w:val="24"/>
                  </w:rPr>
                </w:pPr>
              </w:p>
              <w:p w14:paraId="000001D2" w14:textId="77777777" w:rsidR="004E766C" w:rsidRDefault="00000000">
                <w:pPr>
                  <w:keepLines/>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Annexes 15 - 16 :</w:t>
                </w:r>
                <w:r>
                  <w:rPr>
                    <w:rFonts w:ascii="Times New Roman" w:eastAsia="Times New Roman" w:hAnsi="Times New Roman" w:cs="Times New Roman"/>
                    <w:sz w:val="24"/>
                    <w:szCs w:val="24"/>
                  </w:rPr>
                  <w:t xml:space="preserve"> Compte-rendus des conférences auxquelles nous avons participé</w:t>
                </w:r>
              </w:p>
              <w:p w14:paraId="000001D3" w14:textId="77777777" w:rsidR="004E766C" w:rsidRDefault="00000000">
                <w:pPr>
                  <w:widowControl w:val="0"/>
                  <w:pBdr>
                    <w:top w:val="nil"/>
                    <w:left w:val="nil"/>
                    <w:bottom w:val="nil"/>
                    <w:right w:val="nil"/>
                    <w:between w:val="nil"/>
                  </w:pBdr>
                  <w:spacing w:line="240" w:lineRule="auto"/>
                </w:pPr>
              </w:p>
            </w:sdtContent>
          </w:sdt>
        </w:tc>
      </w:tr>
    </w:tbl>
    <w:p w14:paraId="000001D4" w14:textId="77777777" w:rsidR="004E766C" w:rsidRDefault="004E766C"/>
    <w:p w14:paraId="000001D5" w14:textId="77777777" w:rsidR="004E766C" w:rsidRDefault="004E766C">
      <w:pPr>
        <w:keepLines/>
        <w:spacing w:line="240" w:lineRule="auto"/>
      </w:pPr>
    </w:p>
    <w:p w14:paraId="000001D6" w14:textId="77777777" w:rsidR="004E766C" w:rsidRDefault="004E766C">
      <w:pPr>
        <w:keepLines/>
        <w:spacing w:line="240" w:lineRule="auto"/>
      </w:pPr>
    </w:p>
    <w:p w14:paraId="000001D7" w14:textId="77777777" w:rsidR="004E766C" w:rsidRDefault="004E766C">
      <w:pPr>
        <w:keepLines/>
        <w:spacing w:line="240" w:lineRule="auto"/>
      </w:pPr>
    </w:p>
    <w:p w14:paraId="0000074F" w14:textId="77777777" w:rsidR="004E766C" w:rsidRDefault="004E766C">
      <w:pPr>
        <w:spacing w:line="240" w:lineRule="auto"/>
      </w:pPr>
    </w:p>
    <w:p w14:paraId="00000750" w14:textId="77777777" w:rsidR="004E766C" w:rsidRDefault="004E766C">
      <w:pPr>
        <w:spacing w:line="240" w:lineRule="auto"/>
      </w:pPr>
    </w:p>
    <w:p w14:paraId="00000751" w14:textId="77777777" w:rsidR="004E766C" w:rsidRDefault="004E766C">
      <w:pPr>
        <w:spacing w:line="240" w:lineRule="auto"/>
      </w:pPr>
    </w:p>
    <w:p w14:paraId="00000752" w14:textId="77777777" w:rsidR="004E766C" w:rsidRDefault="004E766C">
      <w:pPr>
        <w:spacing w:line="240" w:lineRule="auto"/>
      </w:pPr>
    </w:p>
    <w:p w14:paraId="00000753" w14:textId="77777777" w:rsidR="004E766C" w:rsidRDefault="004E766C">
      <w:pPr>
        <w:spacing w:line="240" w:lineRule="auto"/>
      </w:pPr>
    </w:p>
    <w:p w14:paraId="00000754" w14:textId="77777777" w:rsidR="004E766C" w:rsidRDefault="004E766C">
      <w:pPr>
        <w:spacing w:line="240" w:lineRule="auto"/>
      </w:pPr>
    </w:p>
    <w:p w14:paraId="00000755" w14:textId="77777777" w:rsidR="004E766C" w:rsidRDefault="004E766C">
      <w:pPr>
        <w:spacing w:line="240" w:lineRule="auto"/>
      </w:pPr>
    </w:p>
    <w:p w14:paraId="00000756" w14:textId="77777777" w:rsidR="004E766C" w:rsidRDefault="004E766C">
      <w:pPr>
        <w:spacing w:line="240" w:lineRule="auto"/>
      </w:pPr>
    </w:p>
    <w:p w14:paraId="00000757" w14:textId="77777777" w:rsidR="004E766C" w:rsidRDefault="004E766C">
      <w:pPr>
        <w:spacing w:line="240" w:lineRule="auto"/>
      </w:pPr>
    </w:p>
    <w:p w14:paraId="00000758" w14:textId="77777777" w:rsidR="004E766C" w:rsidRDefault="004E766C">
      <w:pPr>
        <w:spacing w:line="240" w:lineRule="auto"/>
      </w:pPr>
    </w:p>
    <w:p w14:paraId="00000759" w14:textId="77777777" w:rsidR="004E766C" w:rsidRDefault="004E766C">
      <w:pPr>
        <w:spacing w:line="240" w:lineRule="auto"/>
      </w:pPr>
    </w:p>
    <w:p w14:paraId="0000075A" w14:textId="77777777" w:rsidR="004E766C" w:rsidRDefault="004E766C">
      <w:pPr>
        <w:spacing w:line="240" w:lineRule="auto"/>
      </w:pPr>
    </w:p>
    <w:p w14:paraId="0000075B" w14:textId="77777777" w:rsidR="004E766C" w:rsidRDefault="004E766C">
      <w:pPr>
        <w:spacing w:line="240" w:lineRule="auto"/>
      </w:pPr>
    </w:p>
    <w:p w14:paraId="0000075C" w14:textId="77777777" w:rsidR="004E766C" w:rsidRDefault="004E766C">
      <w:pPr>
        <w:spacing w:line="240" w:lineRule="auto"/>
      </w:pPr>
    </w:p>
    <w:p w14:paraId="0000075D" w14:textId="77777777" w:rsidR="004E766C" w:rsidRDefault="004E766C">
      <w:pPr>
        <w:spacing w:line="240" w:lineRule="auto"/>
      </w:pPr>
    </w:p>
    <w:p w14:paraId="0000075E" w14:textId="77777777" w:rsidR="004E766C" w:rsidRDefault="004E766C">
      <w:pPr>
        <w:spacing w:line="240" w:lineRule="auto"/>
      </w:pPr>
    </w:p>
    <w:p w14:paraId="0000075F" w14:textId="77777777" w:rsidR="004E766C" w:rsidRDefault="004E766C">
      <w:pPr>
        <w:spacing w:line="240" w:lineRule="auto"/>
      </w:pPr>
    </w:p>
    <w:p w14:paraId="00000760" w14:textId="77777777" w:rsidR="004E766C" w:rsidRDefault="004E766C">
      <w:pPr>
        <w:spacing w:line="240" w:lineRule="auto"/>
      </w:pPr>
    </w:p>
    <w:p w14:paraId="00000761" w14:textId="77777777" w:rsidR="004E766C" w:rsidRDefault="004E766C">
      <w:pPr>
        <w:spacing w:line="240" w:lineRule="auto"/>
      </w:pPr>
    </w:p>
    <w:p w14:paraId="00000762" w14:textId="77777777" w:rsidR="004E766C" w:rsidRDefault="004E766C">
      <w:pPr>
        <w:spacing w:line="240" w:lineRule="auto"/>
      </w:pPr>
    </w:p>
    <w:p w14:paraId="00000763" w14:textId="77777777" w:rsidR="004E766C" w:rsidRDefault="004E766C">
      <w:pPr>
        <w:spacing w:line="240" w:lineRule="auto"/>
      </w:pPr>
    </w:p>
    <w:p w14:paraId="00000764" w14:textId="77777777" w:rsidR="004E766C" w:rsidRDefault="004E766C">
      <w:pPr>
        <w:spacing w:line="240" w:lineRule="auto"/>
      </w:pPr>
    </w:p>
    <w:p w14:paraId="00000765" w14:textId="77777777" w:rsidR="004E766C" w:rsidRDefault="004E766C">
      <w:pPr>
        <w:spacing w:line="240" w:lineRule="auto"/>
      </w:pPr>
    </w:p>
    <w:p w14:paraId="00000766" w14:textId="77777777" w:rsidR="004E766C" w:rsidRDefault="004E766C">
      <w:pPr>
        <w:spacing w:line="240" w:lineRule="auto"/>
      </w:pPr>
    </w:p>
    <w:p w14:paraId="00000767" w14:textId="77777777" w:rsidR="004E766C" w:rsidRDefault="004E766C">
      <w:pPr>
        <w:spacing w:line="240" w:lineRule="auto"/>
      </w:pPr>
    </w:p>
    <w:p w14:paraId="00000965" w14:textId="77777777" w:rsidR="004E766C" w:rsidRDefault="004E766C"/>
    <w:p w14:paraId="00000966" w14:textId="77777777" w:rsidR="004E766C" w:rsidRDefault="00000000">
      <w:pPr>
        <w:pStyle w:val="Titre1"/>
        <w:jc w:val="center"/>
      </w:pPr>
      <w:bookmarkStart w:id="72" w:name="_heading=h.m4gch793k70v" w:colFirst="0" w:colLast="0"/>
      <w:bookmarkEnd w:id="72"/>
      <w:r>
        <w:lastRenderedPageBreak/>
        <w:t xml:space="preserve">BIBLIOGRAPHIE : </w:t>
      </w:r>
    </w:p>
    <w:p w14:paraId="00000967" w14:textId="77777777" w:rsidR="004E766C" w:rsidRDefault="004E766C">
      <w:pPr>
        <w:pStyle w:val="Titre3"/>
        <w:keepNext w:val="0"/>
        <w:keepLines w:val="0"/>
        <w:spacing w:before="280" w:after="80" w:line="276" w:lineRule="auto"/>
        <w:ind w:firstLine="0"/>
        <w:jc w:val="left"/>
        <w:rPr>
          <w:sz w:val="26"/>
          <w:szCs w:val="26"/>
        </w:rPr>
      </w:pPr>
      <w:bookmarkStart w:id="73" w:name="_heading=h.colvmkorot5u" w:colFirst="0" w:colLast="0"/>
      <w:bookmarkEnd w:id="73"/>
    </w:p>
    <w:p w14:paraId="00000968" w14:textId="77777777" w:rsidR="004E766C" w:rsidRDefault="00000000">
      <w:pPr>
        <w:pStyle w:val="Titre3"/>
        <w:keepNext w:val="0"/>
        <w:keepLines w:val="0"/>
        <w:spacing w:before="280" w:after="80" w:line="276" w:lineRule="auto"/>
        <w:ind w:firstLine="0"/>
        <w:jc w:val="left"/>
        <w:rPr>
          <w:sz w:val="26"/>
          <w:szCs w:val="26"/>
        </w:rPr>
      </w:pPr>
      <w:bookmarkStart w:id="74" w:name="_heading=h.bjk89qayli8l" w:colFirst="0" w:colLast="0"/>
      <w:bookmarkEnd w:id="74"/>
      <w:r>
        <w:rPr>
          <w:sz w:val="26"/>
          <w:szCs w:val="26"/>
        </w:rPr>
        <w:t>Articles de revues scientifiques</w:t>
      </w:r>
    </w:p>
    <w:p w14:paraId="00000969" w14:textId="77777777" w:rsidR="004E766C" w:rsidRDefault="00000000">
      <w:pPr>
        <w:numPr>
          <w:ilvl w:val="0"/>
          <w:numId w:val="41"/>
        </w:numPr>
        <w:rPr>
          <w:rFonts w:ascii="Times New Roman" w:eastAsia="Times New Roman" w:hAnsi="Times New Roman" w:cs="Times New Roman"/>
        </w:rPr>
      </w:pPr>
      <w:r>
        <w:rPr>
          <w:rFonts w:ascii="Times New Roman" w:eastAsia="Times New Roman" w:hAnsi="Times New Roman" w:cs="Times New Roman"/>
          <w:b/>
          <w:bCs/>
        </w:rPr>
        <w:t>Bourdieu, Pierre.</w:t>
      </w:r>
      <w:r>
        <w:rPr>
          <w:rFonts w:ascii="Times New Roman" w:eastAsia="Times New Roman" w:hAnsi="Times New Roman" w:cs="Times New Roman"/>
        </w:rPr>
        <w:t xml:space="preserve"> « La force du droit : éléments pour une sociologie du champ juridique ». </w:t>
      </w:r>
      <w:r>
        <w:rPr>
          <w:rFonts w:ascii="Times New Roman" w:eastAsia="Times New Roman" w:hAnsi="Times New Roman" w:cs="Times New Roman"/>
          <w:i/>
          <w:iCs/>
        </w:rPr>
        <w:t>Actes de la recherche en sciences sociales</w:t>
      </w:r>
      <w:r>
        <w:rPr>
          <w:rFonts w:ascii="Times New Roman" w:eastAsia="Times New Roman" w:hAnsi="Times New Roman" w:cs="Times New Roman"/>
        </w:rPr>
        <w:t xml:space="preserve">, vol. 64, no. 1, 1986, pp. 3-19. </w:t>
      </w:r>
      <w:hyperlink r:id="rId24">
        <w:r>
          <w:rPr>
            <w:rFonts w:ascii="Times New Roman" w:eastAsia="Times New Roman" w:hAnsi="Times New Roman" w:cs="Times New Roman"/>
            <w:color w:val="1155CC"/>
            <w:u w:val="single"/>
          </w:rPr>
          <w:t>https://www.persee.fr/doc/arss_0335-5322_1986_num_64_1_2332</w:t>
        </w:r>
      </w:hyperlink>
      <w:r>
        <w:rPr>
          <w:rFonts w:ascii="Times New Roman" w:eastAsia="Times New Roman" w:hAnsi="Times New Roman" w:cs="Times New Roman"/>
        </w:rPr>
        <w:t xml:space="preserve"> </w:t>
      </w:r>
    </w:p>
    <w:p w14:paraId="0000096A" w14:textId="77777777" w:rsidR="004E766C" w:rsidRDefault="00000000">
      <w:pPr>
        <w:numPr>
          <w:ilvl w:val="0"/>
          <w:numId w:val="41"/>
        </w:numPr>
        <w:rPr>
          <w:rFonts w:ascii="Times New Roman" w:eastAsia="Times New Roman" w:hAnsi="Times New Roman" w:cs="Times New Roman"/>
        </w:rPr>
      </w:pPr>
      <w:proofErr w:type="spellStart"/>
      <w:r>
        <w:rPr>
          <w:rFonts w:ascii="Times New Roman" w:eastAsia="Times New Roman" w:hAnsi="Times New Roman" w:cs="Times New Roman"/>
          <w:b/>
          <w:bCs/>
        </w:rPr>
        <w:t>Giberti</w:t>
      </w:r>
      <w:proofErr w:type="spellEnd"/>
      <w:r>
        <w:rPr>
          <w:rFonts w:ascii="Times New Roman" w:eastAsia="Times New Roman" w:hAnsi="Times New Roman" w:cs="Times New Roman"/>
          <w:b/>
          <w:bCs/>
        </w:rPr>
        <w:t>, Eva.</w:t>
      </w:r>
      <w:r>
        <w:rPr>
          <w:rFonts w:ascii="Times New Roman" w:eastAsia="Times New Roman" w:hAnsi="Times New Roman" w:cs="Times New Roman"/>
        </w:rPr>
        <w:t xml:space="preserve"> « Violence conjugale : un modèle d’intervention sur le terrain ». Sociologie. Dans </w:t>
      </w:r>
      <w:r>
        <w:rPr>
          <w:rFonts w:ascii="Times New Roman" w:eastAsia="Times New Roman" w:hAnsi="Times New Roman" w:cs="Times New Roman"/>
          <w:i/>
          <w:iCs/>
        </w:rPr>
        <w:t>Cliniques méditerranéennes</w:t>
      </w:r>
      <w:r>
        <w:rPr>
          <w:rFonts w:ascii="Times New Roman" w:eastAsia="Times New Roman" w:hAnsi="Times New Roman" w:cs="Times New Roman"/>
        </w:rPr>
        <w:t xml:space="preserve">, no 88 (2013) : p. 79‑92. </w:t>
      </w:r>
      <w:hyperlink r:id="rId25">
        <w:r>
          <w:rPr>
            <w:rFonts w:ascii="Times New Roman" w:eastAsia="Times New Roman" w:hAnsi="Times New Roman" w:cs="Times New Roman"/>
            <w:color w:val="1155CC"/>
            <w:u w:val="single"/>
          </w:rPr>
          <w:t>https://doi.org/10.3917/cm.088.0079</w:t>
        </w:r>
      </w:hyperlink>
    </w:p>
    <w:p w14:paraId="0000096B" w14:textId="77777777" w:rsidR="004E766C" w:rsidRDefault="00000000">
      <w:pPr>
        <w:numPr>
          <w:ilvl w:val="0"/>
          <w:numId w:val="41"/>
        </w:numPr>
        <w:rPr>
          <w:rFonts w:ascii="Times New Roman" w:eastAsia="Times New Roman" w:hAnsi="Times New Roman" w:cs="Times New Roman"/>
        </w:rPr>
      </w:pPr>
      <w:r>
        <w:rPr>
          <w:rFonts w:ascii="Times New Roman" w:eastAsia="Times New Roman" w:hAnsi="Times New Roman" w:cs="Times New Roman"/>
          <w:b/>
          <w:bCs/>
        </w:rPr>
        <w:t>Kelly, Liz.</w:t>
      </w:r>
      <w:r>
        <w:rPr>
          <w:rFonts w:ascii="Times New Roman" w:eastAsia="Times New Roman" w:hAnsi="Times New Roman" w:cs="Times New Roman"/>
        </w:rPr>
        <w:t xml:space="preserve"> « Le continuum de la violence sexuelle ». Sociologie. Dans </w:t>
      </w:r>
      <w:r>
        <w:rPr>
          <w:rFonts w:ascii="Times New Roman" w:eastAsia="Times New Roman" w:hAnsi="Times New Roman" w:cs="Times New Roman"/>
          <w:i/>
          <w:iCs/>
        </w:rPr>
        <w:t>Cahiers du Genre</w:t>
      </w:r>
      <w:r>
        <w:rPr>
          <w:rFonts w:ascii="Times New Roman" w:eastAsia="Times New Roman" w:hAnsi="Times New Roman" w:cs="Times New Roman"/>
        </w:rPr>
        <w:t xml:space="preserve">, no 66 (2019) : p. 17‑36. </w:t>
      </w:r>
      <w:hyperlink r:id="rId26">
        <w:r>
          <w:rPr>
            <w:rFonts w:ascii="Times New Roman" w:eastAsia="Times New Roman" w:hAnsi="Times New Roman" w:cs="Times New Roman"/>
            <w:color w:val="1155CC"/>
            <w:u w:val="single"/>
          </w:rPr>
          <w:t>https://doi.org/10.3917/cdge.066.0017</w:t>
        </w:r>
      </w:hyperlink>
    </w:p>
    <w:p w14:paraId="0000096C" w14:textId="77777777" w:rsidR="004E766C" w:rsidRDefault="00000000">
      <w:pPr>
        <w:numPr>
          <w:ilvl w:val="0"/>
          <w:numId w:val="41"/>
        </w:numPr>
        <w:rPr>
          <w:rFonts w:ascii="Times New Roman" w:eastAsia="Times New Roman" w:hAnsi="Times New Roman" w:cs="Times New Roman"/>
        </w:rPr>
      </w:pPr>
      <w:proofErr w:type="spellStart"/>
      <w:r>
        <w:rPr>
          <w:rFonts w:ascii="Times New Roman" w:eastAsia="Times New Roman" w:hAnsi="Times New Roman" w:cs="Times New Roman"/>
          <w:b/>
          <w:bCs/>
        </w:rPr>
        <w:t>Labainville</w:t>
      </w:r>
      <w:proofErr w:type="spellEnd"/>
      <w:r>
        <w:rPr>
          <w:rFonts w:ascii="Times New Roman" w:eastAsia="Times New Roman" w:hAnsi="Times New Roman" w:cs="Times New Roman"/>
          <w:b/>
          <w:bCs/>
        </w:rPr>
        <w:t>, I.</w:t>
      </w:r>
      <w:r>
        <w:rPr>
          <w:rFonts w:ascii="Times New Roman" w:eastAsia="Times New Roman" w:hAnsi="Times New Roman" w:cs="Times New Roman"/>
        </w:rPr>
        <w:t xml:space="preserve"> « Le syndrome méditerranéen" : les ressorts d’une catégorie </w:t>
      </w:r>
      <w:proofErr w:type="spellStart"/>
      <w:r>
        <w:rPr>
          <w:rFonts w:ascii="Times New Roman" w:eastAsia="Times New Roman" w:hAnsi="Times New Roman" w:cs="Times New Roman"/>
        </w:rPr>
        <w:t>racialisante</w:t>
      </w:r>
      <w:proofErr w:type="spellEnd"/>
      <w:r>
        <w:rPr>
          <w:rFonts w:ascii="Times New Roman" w:eastAsia="Times New Roman" w:hAnsi="Times New Roman" w:cs="Times New Roman"/>
        </w:rPr>
        <w:t xml:space="preserve"> à l’hôpital ». </w:t>
      </w:r>
      <w:r>
        <w:rPr>
          <w:rFonts w:ascii="Times New Roman" w:eastAsia="Times New Roman" w:hAnsi="Times New Roman" w:cs="Times New Roman"/>
          <w:i/>
          <w:iCs/>
        </w:rPr>
        <w:t>Genèses</w:t>
      </w:r>
      <w:r>
        <w:rPr>
          <w:rFonts w:ascii="Times New Roman" w:eastAsia="Times New Roman" w:hAnsi="Times New Roman" w:cs="Times New Roman"/>
        </w:rPr>
        <w:t xml:space="preserve">, vol. 138, no. 1, 2025, pp. 14-36. </w:t>
      </w:r>
      <w:hyperlink r:id="rId27">
        <w:r>
          <w:rPr>
            <w:rFonts w:ascii="Times New Roman" w:eastAsia="Times New Roman" w:hAnsi="Times New Roman" w:cs="Times New Roman"/>
            <w:color w:val="1155CC"/>
            <w:u w:val="single"/>
          </w:rPr>
          <w:t>https://www.cairn.info/revue-geneses-2025-1-page-14.htm</w:t>
        </w:r>
      </w:hyperlink>
    </w:p>
    <w:p w14:paraId="0000096D" w14:textId="77777777" w:rsidR="004E766C" w:rsidRDefault="00000000">
      <w:pPr>
        <w:numPr>
          <w:ilvl w:val="0"/>
          <w:numId w:val="41"/>
        </w:numPr>
        <w:rPr>
          <w:rFonts w:ascii="Times New Roman" w:eastAsia="Times New Roman" w:hAnsi="Times New Roman" w:cs="Times New Roman"/>
        </w:rPr>
      </w:pPr>
      <w:proofErr w:type="spellStart"/>
      <w:r>
        <w:rPr>
          <w:rFonts w:ascii="Times New Roman" w:eastAsia="Times New Roman" w:hAnsi="Times New Roman" w:cs="Times New Roman"/>
          <w:b/>
          <w:bCs/>
        </w:rPr>
        <w:t>Lachowsky</w:t>
      </w:r>
      <w:proofErr w:type="spellEnd"/>
      <w:r>
        <w:rPr>
          <w:rFonts w:ascii="Times New Roman" w:eastAsia="Times New Roman" w:hAnsi="Times New Roman" w:cs="Times New Roman"/>
          <w:b/>
          <w:bCs/>
        </w:rPr>
        <w:t>, M.</w:t>
      </w:r>
      <w:r>
        <w:rPr>
          <w:rFonts w:ascii="Times New Roman" w:eastAsia="Times New Roman" w:hAnsi="Times New Roman" w:cs="Times New Roman"/>
        </w:rPr>
        <w:t xml:space="preserve"> « Gynécologie psychosomatique, gynécologie et psychosomatique ? ». </w:t>
      </w:r>
      <w:r>
        <w:rPr>
          <w:rFonts w:ascii="Times New Roman" w:eastAsia="Times New Roman" w:hAnsi="Times New Roman" w:cs="Times New Roman"/>
          <w:i/>
          <w:iCs/>
        </w:rPr>
        <w:t>Gynécologie Obstétrique &amp; Fertilité</w:t>
      </w:r>
      <w:r>
        <w:rPr>
          <w:rFonts w:ascii="Times New Roman" w:eastAsia="Times New Roman" w:hAnsi="Times New Roman" w:cs="Times New Roman"/>
        </w:rPr>
        <w:t xml:space="preserve">, vol. 31, no. 12, 2003, pp. 1059-1064. </w:t>
      </w:r>
      <w:hyperlink r:id="rId28">
        <w:r>
          <w:rPr>
            <w:rFonts w:ascii="Times New Roman" w:eastAsia="Times New Roman" w:hAnsi="Times New Roman" w:cs="Times New Roman"/>
            <w:color w:val="1155CC"/>
            <w:u w:val="single"/>
          </w:rPr>
          <w:t>https://shs.cairn.info/revue-geneses-2025-1-page-14?lang=fr</w:t>
        </w:r>
      </w:hyperlink>
      <w:r>
        <w:rPr>
          <w:rFonts w:ascii="Times New Roman" w:eastAsia="Times New Roman" w:hAnsi="Times New Roman" w:cs="Times New Roman"/>
        </w:rPr>
        <w:t>.</w:t>
      </w:r>
    </w:p>
    <w:p w14:paraId="0000096E" w14:textId="77777777" w:rsidR="004E766C" w:rsidRDefault="00000000">
      <w:pPr>
        <w:numPr>
          <w:ilvl w:val="0"/>
          <w:numId w:val="41"/>
        </w:numPr>
        <w:rPr>
          <w:rFonts w:ascii="Times New Roman" w:eastAsia="Times New Roman" w:hAnsi="Times New Roman" w:cs="Times New Roman"/>
        </w:rPr>
      </w:pPr>
      <w:r>
        <w:rPr>
          <w:rFonts w:ascii="Times New Roman" w:eastAsia="Times New Roman" w:hAnsi="Times New Roman" w:cs="Times New Roman"/>
          <w:b/>
          <w:bCs/>
        </w:rPr>
        <w:t xml:space="preserve">Mohanty, Chandra </w:t>
      </w:r>
      <w:proofErr w:type="spellStart"/>
      <w:r>
        <w:rPr>
          <w:rFonts w:ascii="Times New Roman" w:eastAsia="Times New Roman" w:hAnsi="Times New Roman" w:cs="Times New Roman"/>
          <w:b/>
          <w:bCs/>
        </w:rPr>
        <w:t>Talpade</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 Under Western </w:t>
      </w:r>
      <w:proofErr w:type="spellStart"/>
      <w:proofErr w:type="gramStart"/>
      <w:r>
        <w:rPr>
          <w:rFonts w:ascii="Times New Roman" w:eastAsia="Times New Roman" w:hAnsi="Times New Roman" w:cs="Times New Roman"/>
        </w:rPr>
        <w:t>Eyes</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Feminist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Scholarship</w:t>
      </w:r>
      <w:proofErr w:type="spellEnd"/>
      <w:r>
        <w:rPr>
          <w:rFonts w:ascii="Times New Roman" w:eastAsia="Times New Roman" w:hAnsi="Times New Roman" w:cs="Times New Roman"/>
        </w:rPr>
        <w:t xml:space="preserve"> and Colonial </w:t>
      </w:r>
      <w:proofErr w:type="spellStart"/>
      <w:r>
        <w:rPr>
          <w:rFonts w:ascii="Times New Roman" w:eastAsia="Times New Roman" w:hAnsi="Times New Roman" w:cs="Times New Roman"/>
        </w:rPr>
        <w:t>Discourses</w:t>
      </w:r>
      <w:proofErr w:type="spellEnd"/>
      <w:r>
        <w:rPr>
          <w:rFonts w:ascii="Times New Roman" w:eastAsia="Times New Roman" w:hAnsi="Times New Roman" w:cs="Times New Roman"/>
        </w:rPr>
        <w:t xml:space="preserve"> ». </w:t>
      </w:r>
      <w:proofErr w:type="spellStart"/>
      <w:r>
        <w:rPr>
          <w:rFonts w:ascii="Times New Roman" w:eastAsia="Times New Roman" w:hAnsi="Times New Roman" w:cs="Times New Roman"/>
          <w:i/>
          <w:iCs/>
        </w:rPr>
        <w:t>Boundary</w:t>
      </w:r>
      <w:proofErr w:type="spellEnd"/>
      <w:r>
        <w:rPr>
          <w:rFonts w:ascii="Times New Roman" w:eastAsia="Times New Roman" w:hAnsi="Times New Roman" w:cs="Times New Roman"/>
          <w:i/>
          <w:iCs/>
        </w:rPr>
        <w:t xml:space="preserve"> 2</w:t>
      </w:r>
      <w:r>
        <w:rPr>
          <w:rFonts w:ascii="Times New Roman" w:eastAsia="Times New Roman" w:hAnsi="Times New Roman" w:cs="Times New Roman"/>
        </w:rPr>
        <w:t xml:space="preserve">, vol. 12/13, 1984, pp. 333-358. </w:t>
      </w:r>
      <w:hyperlink r:id="rId29">
        <w:r>
          <w:rPr>
            <w:rFonts w:ascii="Times New Roman" w:eastAsia="Times New Roman" w:hAnsi="Times New Roman" w:cs="Times New Roman"/>
            <w:color w:val="1155CC"/>
            <w:u w:val="single"/>
          </w:rPr>
          <w:t>https://www.jstor.org/stable/pdf/302821.pdf</w:t>
        </w:r>
      </w:hyperlink>
      <w:r>
        <w:rPr>
          <w:rFonts w:ascii="Times New Roman" w:eastAsia="Times New Roman" w:hAnsi="Times New Roman" w:cs="Times New Roman"/>
        </w:rPr>
        <w:t>.</w:t>
      </w:r>
    </w:p>
    <w:p w14:paraId="0000096F" w14:textId="77777777" w:rsidR="004E766C" w:rsidRDefault="00000000">
      <w:pPr>
        <w:numPr>
          <w:ilvl w:val="0"/>
          <w:numId w:val="41"/>
        </w:numPr>
        <w:rPr>
          <w:rFonts w:ascii="Times New Roman" w:eastAsia="Times New Roman" w:hAnsi="Times New Roman" w:cs="Times New Roman"/>
        </w:rPr>
      </w:pPr>
      <w:proofErr w:type="spellStart"/>
      <w:r>
        <w:rPr>
          <w:rFonts w:ascii="Times New Roman" w:eastAsia="Times New Roman" w:hAnsi="Times New Roman" w:cs="Times New Roman"/>
          <w:b/>
          <w:bCs/>
        </w:rPr>
        <w:t>Alessandrin</w:t>
      </w:r>
      <w:proofErr w:type="spellEnd"/>
      <w:r>
        <w:rPr>
          <w:rFonts w:ascii="Times New Roman" w:eastAsia="Times New Roman" w:hAnsi="Times New Roman" w:cs="Times New Roman"/>
          <w:b/>
          <w:bCs/>
        </w:rPr>
        <w:t>, Arnaud.</w:t>
      </w:r>
      <w:r>
        <w:rPr>
          <w:rFonts w:ascii="Times New Roman" w:eastAsia="Times New Roman" w:hAnsi="Times New Roman" w:cs="Times New Roman"/>
          <w:sz w:val="24"/>
          <w:szCs w:val="24"/>
        </w:rPr>
        <w:t xml:space="preserve"> </w:t>
      </w:r>
      <w:r>
        <w:rPr>
          <w:rFonts w:ascii="Times New Roman" w:eastAsia="Times New Roman" w:hAnsi="Times New Roman" w:cs="Times New Roman"/>
        </w:rPr>
        <w:t xml:space="preserve">« L'expérience du genre : ce que nous apprennent les transidentités ». </w:t>
      </w:r>
      <w:r>
        <w:rPr>
          <w:rFonts w:ascii="Times New Roman" w:eastAsia="Times New Roman" w:hAnsi="Times New Roman" w:cs="Times New Roman"/>
          <w:i/>
          <w:iCs/>
        </w:rPr>
        <w:t>Sexe &amp; genre</w:t>
      </w:r>
      <w:r>
        <w:rPr>
          <w:rFonts w:ascii="Times New Roman" w:eastAsia="Times New Roman" w:hAnsi="Times New Roman" w:cs="Times New Roman"/>
        </w:rPr>
        <w:t xml:space="preserve">, dirigé par Anne-Charlotte Husson et al., Presses Universitaires de Lyon, 2019. </w:t>
      </w:r>
      <w:hyperlink r:id="rId30">
        <w:r>
          <w:rPr>
            <w:rFonts w:ascii="Times New Roman" w:eastAsia="Times New Roman" w:hAnsi="Times New Roman" w:cs="Times New Roman"/>
            <w:color w:val="1155CC"/>
            <w:u w:val="single"/>
          </w:rPr>
          <w:t>https://hal.science/hal-00717447/document</w:t>
        </w:r>
      </w:hyperlink>
      <w:r>
        <w:rPr>
          <w:rFonts w:ascii="Times New Roman" w:eastAsia="Times New Roman" w:hAnsi="Times New Roman" w:cs="Times New Roman"/>
        </w:rPr>
        <w:t xml:space="preserve">. </w:t>
      </w:r>
    </w:p>
    <w:p w14:paraId="00000970" w14:textId="77777777" w:rsidR="004E766C" w:rsidRDefault="00000000">
      <w:pPr>
        <w:numPr>
          <w:ilvl w:val="0"/>
          <w:numId w:val="41"/>
        </w:numPr>
        <w:rPr>
          <w:rFonts w:ascii="Times New Roman" w:eastAsia="Times New Roman" w:hAnsi="Times New Roman" w:cs="Times New Roman"/>
        </w:rPr>
      </w:pPr>
      <w:r>
        <w:rPr>
          <w:rFonts w:ascii="Times New Roman" w:eastAsia="Times New Roman" w:hAnsi="Times New Roman" w:cs="Times New Roman"/>
          <w:b/>
          <w:bCs/>
        </w:rPr>
        <w:t>Pache, Stéphanie.</w:t>
      </w:r>
      <w:r>
        <w:rPr>
          <w:rFonts w:ascii="Times New Roman" w:eastAsia="Times New Roman" w:hAnsi="Times New Roman" w:cs="Times New Roman"/>
        </w:rPr>
        <w:t xml:space="preserve"> « L’histoire féministe de la « psychologisation des violences » ». Sociologie. Dans </w:t>
      </w:r>
      <w:r>
        <w:rPr>
          <w:rFonts w:ascii="Times New Roman" w:eastAsia="Times New Roman" w:hAnsi="Times New Roman" w:cs="Times New Roman"/>
          <w:i/>
          <w:iCs/>
        </w:rPr>
        <w:t>Cahiers du Genre 66</w:t>
      </w:r>
      <w:r>
        <w:rPr>
          <w:rFonts w:ascii="Times New Roman" w:eastAsia="Times New Roman" w:hAnsi="Times New Roman" w:cs="Times New Roman"/>
        </w:rPr>
        <w:t xml:space="preserve">, no 1 (2019) : p. 51‑70. </w:t>
      </w:r>
      <w:hyperlink r:id="rId31">
        <w:r>
          <w:rPr>
            <w:rFonts w:ascii="Times New Roman" w:eastAsia="Times New Roman" w:hAnsi="Times New Roman" w:cs="Times New Roman"/>
            <w:color w:val="1155CC"/>
            <w:u w:val="single"/>
          </w:rPr>
          <w:t>https://doi.org/10.3917/cdge.066.0051</w:t>
        </w:r>
      </w:hyperlink>
    </w:p>
    <w:p w14:paraId="00000971" w14:textId="77777777" w:rsidR="004E766C" w:rsidRDefault="00000000">
      <w:pPr>
        <w:numPr>
          <w:ilvl w:val="0"/>
          <w:numId w:val="41"/>
        </w:numPr>
        <w:rPr>
          <w:rFonts w:ascii="Times New Roman" w:eastAsia="Times New Roman" w:hAnsi="Times New Roman" w:cs="Times New Roman"/>
        </w:rPr>
      </w:pPr>
      <w:r>
        <w:rPr>
          <w:rFonts w:ascii="Times New Roman" w:eastAsia="Times New Roman" w:hAnsi="Times New Roman" w:cs="Times New Roman"/>
          <w:b/>
          <w:bCs/>
        </w:rPr>
        <w:t>Salle, Muriel.</w:t>
      </w:r>
      <w:r>
        <w:rPr>
          <w:rFonts w:ascii="Times New Roman" w:eastAsia="Times New Roman" w:hAnsi="Times New Roman" w:cs="Times New Roman"/>
        </w:rPr>
        <w:t xml:space="preserve"> « Sexisme en santé ? Penser la complexité pour faire bouger les lignes ». Dans </w:t>
      </w:r>
      <w:r>
        <w:rPr>
          <w:rFonts w:ascii="Times New Roman" w:eastAsia="Times New Roman" w:hAnsi="Times New Roman" w:cs="Times New Roman"/>
          <w:i/>
          <w:iCs/>
        </w:rPr>
        <w:t>Journal du Droit de la Santé et de l’Assurance - Maladie (JDSAM)</w:t>
      </w:r>
      <w:r>
        <w:rPr>
          <w:rFonts w:ascii="Times New Roman" w:eastAsia="Times New Roman" w:hAnsi="Times New Roman" w:cs="Times New Roman"/>
        </w:rPr>
        <w:t xml:space="preserve">, no 43 (2025) : p. 7‑14. </w:t>
      </w:r>
      <w:hyperlink r:id="rId32">
        <w:r>
          <w:rPr>
            <w:rFonts w:ascii="Times New Roman" w:eastAsia="Times New Roman" w:hAnsi="Times New Roman" w:cs="Times New Roman"/>
            <w:color w:val="1155CC"/>
            <w:u w:val="single"/>
          </w:rPr>
          <w:t>https://doi.org/10.3917/jdsam.251.0007a</w:t>
        </w:r>
      </w:hyperlink>
    </w:p>
    <w:p w14:paraId="00000972" w14:textId="77777777" w:rsidR="004E766C" w:rsidRDefault="00000000">
      <w:pPr>
        <w:numPr>
          <w:ilvl w:val="0"/>
          <w:numId w:val="41"/>
        </w:numPr>
        <w:rPr>
          <w:rFonts w:ascii="Times New Roman" w:eastAsia="Times New Roman" w:hAnsi="Times New Roman" w:cs="Times New Roman"/>
        </w:rPr>
      </w:pPr>
      <w:proofErr w:type="spellStart"/>
      <w:r>
        <w:rPr>
          <w:rFonts w:ascii="Times New Roman" w:eastAsia="Times New Roman" w:hAnsi="Times New Roman" w:cs="Times New Roman"/>
          <w:b/>
          <w:bCs/>
        </w:rPr>
        <w:t>Sapiro</w:t>
      </w:r>
      <w:proofErr w:type="spellEnd"/>
      <w:r>
        <w:rPr>
          <w:rFonts w:ascii="Times New Roman" w:eastAsia="Times New Roman" w:hAnsi="Times New Roman" w:cs="Times New Roman"/>
          <w:b/>
          <w:bCs/>
        </w:rPr>
        <w:t>, Gisèle.</w:t>
      </w:r>
      <w:r>
        <w:rPr>
          <w:rFonts w:ascii="Times New Roman" w:eastAsia="Times New Roman" w:hAnsi="Times New Roman" w:cs="Times New Roman"/>
        </w:rPr>
        <w:t xml:space="preserve"> « Repenser le concept d’autonomie pour la sociologie des biens symboliques ». </w:t>
      </w:r>
      <w:r>
        <w:rPr>
          <w:rFonts w:ascii="Times New Roman" w:eastAsia="Times New Roman" w:hAnsi="Times New Roman" w:cs="Times New Roman"/>
          <w:i/>
          <w:iCs/>
        </w:rPr>
        <w:t xml:space="preserve">Biens Symboliques / </w:t>
      </w:r>
      <w:proofErr w:type="spellStart"/>
      <w:r>
        <w:rPr>
          <w:rFonts w:ascii="Times New Roman" w:eastAsia="Times New Roman" w:hAnsi="Times New Roman" w:cs="Times New Roman"/>
          <w:i/>
          <w:iCs/>
        </w:rPr>
        <w:t>Symbolic</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Goods</w:t>
      </w:r>
      <w:proofErr w:type="spellEnd"/>
      <w:r>
        <w:rPr>
          <w:rFonts w:ascii="Times New Roman" w:eastAsia="Times New Roman" w:hAnsi="Times New Roman" w:cs="Times New Roman"/>
        </w:rPr>
        <w:t xml:space="preserve">, no. 1, 2017. </w:t>
      </w:r>
      <w:hyperlink r:id="rId33">
        <w:r>
          <w:rPr>
            <w:rFonts w:ascii="Times New Roman" w:eastAsia="Times New Roman" w:hAnsi="Times New Roman" w:cs="Times New Roman"/>
            <w:color w:val="1155CC"/>
            <w:u w:val="single"/>
          </w:rPr>
          <w:t>https://journals.openedition.org/bssg/327</w:t>
        </w:r>
      </w:hyperlink>
      <w:r>
        <w:rPr>
          <w:rFonts w:ascii="Times New Roman" w:eastAsia="Times New Roman" w:hAnsi="Times New Roman" w:cs="Times New Roman"/>
        </w:rPr>
        <w:t xml:space="preserve">. </w:t>
      </w:r>
    </w:p>
    <w:p w14:paraId="00000973" w14:textId="77777777" w:rsidR="004E766C" w:rsidRDefault="00000000">
      <w:pPr>
        <w:numPr>
          <w:ilvl w:val="0"/>
          <w:numId w:val="41"/>
        </w:numPr>
        <w:spacing w:after="240"/>
        <w:rPr>
          <w:rFonts w:ascii="Times New Roman" w:eastAsia="Times New Roman" w:hAnsi="Times New Roman" w:cs="Times New Roman"/>
        </w:rPr>
      </w:pPr>
      <w:proofErr w:type="spellStart"/>
      <w:r>
        <w:rPr>
          <w:rFonts w:ascii="Times New Roman" w:eastAsia="Times New Roman" w:hAnsi="Times New Roman" w:cs="Times New Roman"/>
          <w:b/>
          <w:bCs/>
        </w:rPr>
        <w:t>Wangmann</w:t>
      </w:r>
      <w:proofErr w:type="spellEnd"/>
      <w:r>
        <w:rPr>
          <w:rFonts w:ascii="Times New Roman" w:eastAsia="Times New Roman" w:hAnsi="Times New Roman" w:cs="Times New Roman"/>
          <w:b/>
          <w:bCs/>
        </w:rPr>
        <w:t>, Jane, et al.</w:t>
      </w:r>
      <w:r>
        <w:rPr>
          <w:rFonts w:ascii="Times New Roman" w:eastAsia="Times New Roman" w:hAnsi="Times New Roman" w:cs="Times New Roman"/>
        </w:rPr>
        <w:t xml:space="preserve"> « </w:t>
      </w:r>
      <w:proofErr w:type="spellStart"/>
      <w:r>
        <w:rPr>
          <w:rFonts w:ascii="Times New Roman" w:eastAsia="Times New Roman" w:hAnsi="Times New Roman" w:cs="Times New Roman"/>
        </w:rPr>
        <w:t>What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is</w:t>
      </w:r>
      <w:proofErr w:type="spellEnd"/>
      <w:r>
        <w:rPr>
          <w:rFonts w:ascii="Times New Roman" w:eastAsia="Times New Roman" w:hAnsi="Times New Roman" w:cs="Times New Roman"/>
        </w:rPr>
        <w:t xml:space="preserve"> ‘Good’ Domestic Violence </w:t>
      </w:r>
      <w:proofErr w:type="spellStart"/>
      <w:proofErr w:type="gramStart"/>
      <w:r>
        <w:rPr>
          <w:rFonts w:ascii="Times New Roman" w:eastAsia="Times New Roman" w:hAnsi="Times New Roman" w:cs="Times New Roman"/>
        </w:rPr>
        <w:t>Lawyering</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w:t>
      </w:r>
      <w:proofErr w:type="spellStart"/>
      <w:r>
        <w:rPr>
          <w:rFonts w:ascii="Times New Roman" w:eastAsia="Times New Roman" w:hAnsi="Times New Roman" w:cs="Times New Roman"/>
        </w:rPr>
        <w:t>Views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from</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Specialist</w:t>
      </w:r>
      <w:proofErr w:type="spellEnd"/>
      <w:r>
        <w:rPr>
          <w:rFonts w:ascii="Times New Roman" w:eastAsia="Times New Roman" w:hAnsi="Times New Roman" w:cs="Times New Roman"/>
        </w:rPr>
        <w:t xml:space="preserve"> Legal Services in </w:t>
      </w:r>
      <w:proofErr w:type="spellStart"/>
      <w:r>
        <w:rPr>
          <w:rFonts w:ascii="Times New Roman" w:eastAsia="Times New Roman" w:hAnsi="Times New Roman" w:cs="Times New Roman"/>
        </w:rPr>
        <w:t>Australia</w:t>
      </w:r>
      <w:proofErr w:type="spellEnd"/>
      <w:r>
        <w:rPr>
          <w:rFonts w:ascii="Times New Roman" w:eastAsia="Times New Roman" w:hAnsi="Times New Roman" w:cs="Times New Roman"/>
        </w:rPr>
        <w:t xml:space="preserve"> ». </w:t>
      </w:r>
      <w:r>
        <w:rPr>
          <w:rFonts w:ascii="Times New Roman" w:eastAsia="Times New Roman" w:hAnsi="Times New Roman" w:cs="Times New Roman"/>
          <w:i/>
          <w:iCs/>
        </w:rPr>
        <w:t>International Journal of Law, Policy and the Family</w:t>
      </w:r>
      <w:r>
        <w:rPr>
          <w:rFonts w:ascii="Times New Roman" w:eastAsia="Times New Roman" w:hAnsi="Times New Roman" w:cs="Times New Roman"/>
        </w:rPr>
        <w:t xml:space="preserve">, vol. 35, no. 1, 2021. </w:t>
      </w:r>
      <w:hyperlink r:id="rId34">
        <w:r>
          <w:rPr>
            <w:rFonts w:ascii="Times New Roman" w:eastAsia="Times New Roman" w:hAnsi="Times New Roman" w:cs="Times New Roman"/>
            <w:color w:val="1155CC"/>
            <w:u w:val="single"/>
          </w:rPr>
          <w:t>https://academic.oup.com/lawfam/article-abstract/37/1/ebac034/6982522</w:t>
        </w:r>
      </w:hyperlink>
      <w:r>
        <w:rPr>
          <w:rFonts w:ascii="Times New Roman" w:eastAsia="Times New Roman" w:hAnsi="Times New Roman" w:cs="Times New Roman"/>
        </w:rPr>
        <w:t>.</w:t>
      </w:r>
    </w:p>
    <w:p w14:paraId="00000974" w14:textId="77777777" w:rsidR="004E766C" w:rsidRDefault="004E766C">
      <w:pPr>
        <w:pStyle w:val="Titre3"/>
        <w:keepNext w:val="0"/>
        <w:keepLines w:val="0"/>
        <w:spacing w:before="280" w:after="80" w:line="276" w:lineRule="auto"/>
        <w:ind w:firstLine="0"/>
        <w:jc w:val="left"/>
        <w:rPr>
          <w:sz w:val="26"/>
          <w:szCs w:val="26"/>
        </w:rPr>
      </w:pPr>
      <w:bookmarkStart w:id="75" w:name="_heading=h.skuest7yiy3z" w:colFirst="0" w:colLast="0"/>
      <w:bookmarkEnd w:id="75"/>
    </w:p>
    <w:p w14:paraId="00000975" w14:textId="77777777" w:rsidR="004E766C" w:rsidRDefault="00000000">
      <w:pPr>
        <w:pStyle w:val="Titre3"/>
        <w:keepNext w:val="0"/>
        <w:keepLines w:val="0"/>
        <w:spacing w:before="280" w:after="80" w:line="276" w:lineRule="auto"/>
        <w:ind w:firstLine="0"/>
        <w:jc w:val="left"/>
        <w:rPr>
          <w:sz w:val="26"/>
          <w:szCs w:val="26"/>
        </w:rPr>
      </w:pPr>
      <w:bookmarkStart w:id="76" w:name="_heading=h.7o5civ1yfitu" w:colFirst="0" w:colLast="0"/>
      <w:bookmarkEnd w:id="76"/>
      <w:r>
        <w:rPr>
          <w:sz w:val="26"/>
          <w:szCs w:val="26"/>
        </w:rPr>
        <w:t>Chapitres d’ouvrages collectifs</w:t>
      </w:r>
    </w:p>
    <w:p w14:paraId="00000976" w14:textId="77777777" w:rsidR="004E766C" w:rsidRDefault="00000000">
      <w:pPr>
        <w:numPr>
          <w:ilvl w:val="0"/>
          <w:numId w:val="46"/>
        </w:numPr>
        <w:rPr>
          <w:rFonts w:ascii="Times New Roman" w:eastAsia="Times New Roman" w:hAnsi="Times New Roman" w:cs="Times New Roman"/>
        </w:rPr>
      </w:pPr>
      <w:r>
        <w:rPr>
          <w:rFonts w:ascii="Times New Roman" w:eastAsia="Times New Roman" w:hAnsi="Times New Roman" w:cs="Times New Roman"/>
          <w:b/>
          <w:bCs/>
        </w:rPr>
        <w:t xml:space="preserve">Alain Blanchet et Anne </w:t>
      </w:r>
      <w:proofErr w:type="spellStart"/>
      <w:r>
        <w:rPr>
          <w:rFonts w:ascii="Times New Roman" w:eastAsia="Times New Roman" w:hAnsi="Times New Roman" w:cs="Times New Roman"/>
          <w:b/>
          <w:bCs/>
        </w:rPr>
        <w:t>Gotman</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 L’enquête et ses méthodes : l’entretien », in François de Singly (</w:t>
      </w:r>
      <w:proofErr w:type="spellStart"/>
      <w:r>
        <w:rPr>
          <w:rFonts w:ascii="Times New Roman" w:eastAsia="Times New Roman" w:hAnsi="Times New Roman" w:cs="Times New Roman"/>
        </w:rPr>
        <w:t>dir</w:t>
      </w:r>
      <w:proofErr w:type="spellEnd"/>
      <w:r>
        <w:rPr>
          <w:rFonts w:ascii="Times New Roman" w:eastAsia="Times New Roman" w:hAnsi="Times New Roman" w:cs="Times New Roman"/>
        </w:rPr>
        <w:t xml:space="preserve">.), </w:t>
      </w:r>
      <w:r>
        <w:rPr>
          <w:rFonts w:ascii="Times New Roman" w:eastAsia="Times New Roman" w:hAnsi="Times New Roman" w:cs="Times New Roman"/>
          <w:i/>
          <w:iCs/>
        </w:rPr>
        <w:t>L’enquête et ses méthodes</w:t>
      </w:r>
      <w:r>
        <w:rPr>
          <w:rFonts w:ascii="Times New Roman" w:eastAsia="Times New Roman" w:hAnsi="Times New Roman" w:cs="Times New Roman"/>
        </w:rPr>
        <w:t>, Paris, Armand Colin, 2007.</w:t>
      </w:r>
    </w:p>
    <w:p w14:paraId="00000977" w14:textId="77777777" w:rsidR="004E766C" w:rsidRDefault="00000000">
      <w:pPr>
        <w:numPr>
          <w:ilvl w:val="0"/>
          <w:numId w:val="46"/>
        </w:numPr>
        <w:rPr>
          <w:rFonts w:ascii="Times New Roman" w:eastAsia="Times New Roman" w:hAnsi="Times New Roman" w:cs="Times New Roman"/>
        </w:rPr>
      </w:pPr>
      <w:r>
        <w:rPr>
          <w:rFonts w:ascii="Times New Roman" w:eastAsia="Times New Roman" w:hAnsi="Times New Roman" w:cs="Times New Roman"/>
          <w:b/>
          <w:bCs/>
        </w:rPr>
        <w:t>Cassin, Barbara.</w:t>
      </w:r>
      <w:r>
        <w:rPr>
          <w:rFonts w:ascii="Times New Roman" w:eastAsia="Times New Roman" w:hAnsi="Times New Roman" w:cs="Times New Roman"/>
        </w:rPr>
        <w:t xml:space="preserve"> « « L’hôpital est à la fois ce qui permet de prendre soin et ce dont il faut prendre soin » ». Dans :</w:t>
      </w:r>
      <w:r>
        <w:rPr>
          <w:rFonts w:ascii="Times New Roman" w:eastAsia="Times New Roman" w:hAnsi="Times New Roman" w:cs="Times New Roman"/>
          <w:i/>
          <w:iCs/>
        </w:rPr>
        <w:t>(</w:t>
      </w:r>
      <w:proofErr w:type="gramStart"/>
      <w:r>
        <w:rPr>
          <w:rFonts w:ascii="Times New Roman" w:eastAsia="Times New Roman" w:hAnsi="Times New Roman" w:cs="Times New Roman"/>
          <w:i/>
          <w:iCs/>
        </w:rPr>
        <w:t>In)hospitalités</w:t>
      </w:r>
      <w:proofErr w:type="gramEnd"/>
      <w:r>
        <w:rPr>
          <w:rFonts w:ascii="Times New Roman" w:eastAsia="Times New Roman" w:hAnsi="Times New Roman" w:cs="Times New Roman"/>
          <w:i/>
          <w:iCs/>
        </w:rPr>
        <w:t xml:space="preserve"> hospitalières. Conflit Médiation Réconciliation</w:t>
      </w:r>
      <w:r>
        <w:rPr>
          <w:rFonts w:ascii="Times New Roman" w:eastAsia="Times New Roman" w:hAnsi="Times New Roman" w:cs="Times New Roman"/>
        </w:rPr>
        <w:t xml:space="preserve">. Médecine &amp; Hygiène, 2023. </w:t>
      </w:r>
    </w:p>
    <w:p w14:paraId="00000978" w14:textId="77777777" w:rsidR="004E766C" w:rsidRDefault="00000000">
      <w:pPr>
        <w:numPr>
          <w:ilvl w:val="0"/>
          <w:numId w:val="46"/>
        </w:numP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Déplaude</w:t>
      </w:r>
      <w:proofErr w:type="spellEnd"/>
      <w:r>
        <w:rPr>
          <w:rFonts w:ascii="Times New Roman" w:eastAsia="Times New Roman" w:hAnsi="Times New Roman" w:cs="Times New Roman"/>
          <w:b/>
          <w:bCs/>
        </w:rPr>
        <w:t>, Marc-Olivier.</w:t>
      </w:r>
      <w:r>
        <w:rPr>
          <w:rFonts w:ascii="Times New Roman" w:eastAsia="Times New Roman" w:hAnsi="Times New Roman" w:cs="Times New Roman"/>
        </w:rPr>
        <w:t xml:space="preserve"> « La fin de la sélection ? Retour sur la genèse du numerus clausus de médecine (1968-1979) ». </w:t>
      </w:r>
      <w:r>
        <w:rPr>
          <w:rFonts w:ascii="Times New Roman" w:eastAsia="Times New Roman" w:hAnsi="Times New Roman" w:cs="Times New Roman"/>
          <w:i/>
          <w:iCs/>
        </w:rPr>
        <w:t>Études de santé : le temps des réformes</w:t>
      </w:r>
      <w:r>
        <w:rPr>
          <w:rFonts w:ascii="Times New Roman" w:eastAsia="Times New Roman" w:hAnsi="Times New Roman" w:cs="Times New Roman"/>
        </w:rPr>
        <w:t xml:space="preserve">, dirigé par Stéphane Le Bouler et Pauline </w:t>
      </w:r>
      <w:proofErr w:type="spellStart"/>
      <w:r>
        <w:rPr>
          <w:rFonts w:ascii="Times New Roman" w:eastAsia="Times New Roman" w:hAnsi="Times New Roman" w:cs="Times New Roman"/>
        </w:rPr>
        <w:t>Lenesley</w:t>
      </w:r>
      <w:proofErr w:type="spellEnd"/>
      <w:r>
        <w:rPr>
          <w:rFonts w:ascii="Times New Roman" w:eastAsia="Times New Roman" w:hAnsi="Times New Roman" w:cs="Times New Roman"/>
        </w:rPr>
        <w:t xml:space="preserve">, Presses universitaires François-Rabelais, 2021, pp. 77-85. </w:t>
      </w:r>
    </w:p>
    <w:p w14:paraId="00000979" w14:textId="77777777" w:rsidR="004E766C" w:rsidRDefault="00000000">
      <w:pPr>
        <w:numPr>
          <w:ilvl w:val="0"/>
          <w:numId w:val="46"/>
        </w:numPr>
        <w:rPr>
          <w:rFonts w:ascii="Times New Roman" w:eastAsia="Times New Roman" w:hAnsi="Times New Roman" w:cs="Times New Roman"/>
        </w:rPr>
      </w:pPr>
      <w:r>
        <w:rPr>
          <w:rFonts w:ascii="Times New Roman" w:eastAsia="Times New Roman" w:hAnsi="Times New Roman" w:cs="Times New Roman"/>
          <w:b/>
          <w:bCs/>
        </w:rPr>
        <w:t>Dubar, Claude.</w:t>
      </w:r>
      <w:r>
        <w:rPr>
          <w:rFonts w:ascii="Times New Roman" w:eastAsia="Times New Roman" w:hAnsi="Times New Roman" w:cs="Times New Roman"/>
        </w:rPr>
        <w:t xml:space="preserve"> « 3. La crise des identités professionnelles ». </w:t>
      </w:r>
      <w:r>
        <w:rPr>
          <w:rFonts w:ascii="Times New Roman" w:eastAsia="Times New Roman" w:hAnsi="Times New Roman" w:cs="Times New Roman"/>
          <w:i/>
          <w:iCs/>
        </w:rPr>
        <w:t>La crise des identités : l'interprétation d'une mutation</w:t>
      </w:r>
      <w:r>
        <w:rPr>
          <w:rFonts w:ascii="Times New Roman" w:eastAsia="Times New Roman" w:hAnsi="Times New Roman" w:cs="Times New Roman"/>
        </w:rPr>
        <w:t xml:space="preserve">, Presses Universitaires de France, 2010, pp. 95-128. </w:t>
      </w:r>
    </w:p>
    <w:p w14:paraId="0000097A" w14:textId="77777777" w:rsidR="004E766C" w:rsidRDefault="00000000">
      <w:pPr>
        <w:numPr>
          <w:ilvl w:val="0"/>
          <w:numId w:val="46"/>
        </w:numPr>
        <w:rPr>
          <w:rFonts w:ascii="Times New Roman" w:eastAsia="Times New Roman" w:hAnsi="Times New Roman" w:cs="Times New Roman"/>
        </w:rPr>
      </w:pPr>
      <w:proofErr w:type="spellStart"/>
      <w:r>
        <w:rPr>
          <w:rFonts w:ascii="Times New Roman" w:eastAsia="Times New Roman" w:hAnsi="Times New Roman" w:cs="Times New Roman"/>
          <w:b/>
          <w:bCs/>
        </w:rPr>
        <w:t>Faget</w:t>
      </w:r>
      <w:proofErr w:type="spellEnd"/>
      <w:r>
        <w:rPr>
          <w:rFonts w:ascii="Times New Roman" w:eastAsia="Times New Roman" w:hAnsi="Times New Roman" w:cs="Times New Roman"/>
          <w:b/>
          <w:bCs/>
        </w:rPr>
        <w:t>, Jacques.</w:t>
      </w:r>
      <w:r>
        <w:rPr>
          <w:rFonts w:ascii="Times New Roman" w:eastAsia="Times New Roman" w:hAnsi="Times New Roman" w:cs="Times New Roman"/>
        </w:rPr>
        <w:t xml:space="preserve"> « 2 – La médiation, vecteur d’une démocratie hospitalière ? ». Dans : </w:t>
      </w:r>
      <w:r>
        <w:rPr>
          <w:rFonts w:ascii="Times New Roman" w:eastAsia="Times New Roman" w:hAnsi="Times New Roman" w:cs="Times New Roman"/>
          <w:i/>
          <w:iCs/>
        </w:rPr>
        <w:t>(In)hospitalités hospitalières. Conflit Médiation Réconciliation</w:t>
      </w:r>
      <w:r>
        <w:rPr>
          <w:rFonts w:ascii="Times New Roman" w:eastAsia="Times New Roman" w:hAnsi="Times New Roman" w:cs="Times New Roman"/>
        </w:rPr>
        <w:t xml:space="preserve">. Médecine &amp; Hygiène, 2023. </w:t>
      </w:r>
    </w:p>
    <w:p w14:paraId="0000097B" w14:textId="77777777" w:rsidR="004E766C" w:rsidRDefault="00000000">
      <w:pPr>
        <w:numPr>
          <w:ilvl w:val="0"/>
          <w:numId w:val="46"/>
        </w:numPr>
        <w:rPr>
          <w:rFonts w:ascii="Times New Roman" w:eastAsia="Times New Roman" w:hAnsi="Times New Roman" w:cs="Times New Roman"/>
        </w:rPr>
      </w:pPr>
      <w:proofErr w:type="spellStart"/>
      <w:r>
        <w:rPr>
          <w:rFonts w:ascii="Times New Roman" w:eastAsia="Times New Roman" w:hAnsi="Times New Roman" w:cs="Times New Roman"/>
          <w:b/>
          <w:bCs/>
        </w:rPr>
        <w:t>Gotman</w:t>
      </w:r>
      <w:proofErr w:type="spellEnd"/>
      <w:r>
        <w:rPr>
          <w:rFonts w:ascii="Times New Roman" w:eastAsia="Times New Roman" w:hAnsi="Times New Roman" w:cs="Times New Roman"/>
          <w:b/>
          <w:bCs/>
        </w:rPr>
        <w:t>, Anne.</w:t>
      </w:r>
      <w:r>
        <w:rPr>
          <w:rFonts w:ascii="Times New Roman" w:eastAsia="Times New Roman" w:hAnsi="Times New Roman" w:cs="Times New Roman"/>
        </w:rPr>
        <w:t xml:space="preserve"> « L’hôte et le système domestique ». Dans : </w:t>
      </w:r>
      <w:r>
        <w:rPr>
          <w:rFonts w:ascii="Times New Roman" w:eastAsia="Times New Roman" w:hAnsi="Times New Roman" w:cs="Times New Roman"/>
          <w:i/>
          <w:iCs/>
        </w:rPr>
        <w:t>Le sens de l’hospitalité</w:t>
      </w:r>
      <w:r>
        <w:rPr>
          <w:rFonts w:ascii="Times New Roman" w:eastAsia="Times New Roman" w:hAnsi="Times New Roman" w:cs="Times New Roman"/>
        </w:rPr>
        <w:t xml:space="preserve">. Presses Universitaires de France, 2001, p. 171-200. </w:t>
      </w:r>
    </w:p>
    <w:p w14:paraId="0000097C" w14:textId="77777777" w:rsidR="004E766C" w:rsidRDefault="00000000">
      <w:pPr>
        <w:numPr>
          <w:ilvl w:val="0"/>
          <w:numId w:val="46"/>
        </w:numPr>
        <w:rPr>
          <w:rFonts w:ascii="Times New Roman" w:eastAsia="Times New Roman" w:hAnsi="Times New Roman" w:cs="Times New Roman"/>
        </w:rPr>
      </w:pPr>
      <w:r>
        <w:rPr>
          <w:rFonts w:ascii="Times New Roman" w:eastAsia="Times New Roman" w:hAnsi="Times New Roman" w:cs="Times New Roman"/>
          <w:b/>
          <w:bCs/>
        </w:rPr>
        <w:t xml:space="preserve">Le </w:t>
      </w:r>
      <w:proofErr w:type="spellStart"/>
      <w:r>
        <w:rPr>
          <w:rFonts w:ascii="Times New Roman" w:eastAsia="Times New Roman" w:hAnsi="Times New Roman" w:cs="Times New Roman"/>
          <w:b/>
          <w:bCs/>
        </w:rPr>
        <w:t>Talec</w:t>
      </w:r>
      <w:proofErr w:type="spellEnd"/>
      <w:r>
        <w:rPr>
          <w:rFonts w:ascii="Times New Roman" w:eastAsia="Times New Roman" w:hAnsi="Times New Roman" w:cs="Times New Roman"/>
          <w:b/>
          <w:bCs/>
        </w:rPr>
        <w:t xml:space="preserve">, Jean-Yves, Authier, Danièle, et </w:t>
      </w:r>
      <w:proofErr w:type="spellStart"/>
      <w:r>
        <w:rPr>
          <w:rFonts w:ascii="Times New Roman" w:eastAsia="Times New Roman" w:hAnsi="Times New Roman" w:cs="Times New Roman"/>
          <w:b/>
          <w:bCs/>
        </w:rPr>
        <w:t>Tomolillo</w:t>
      </w:r>
      <w:proofErr w:type="spellEnd"/>
      <w:r>
        <w:rPr>
          <w:rFonts w:ascii="Times New Roman" w:eastAsia="Times New Roman" w:hAnsi="Times New Roman" w:cs="Times New Roman"/>
          <w:b/>
          <w:bCs/>
        </w:rPr>
        <w:t>, Sylvie.</w:t>
      </w:r>
      <w:r>
        <w:rPr>
          <w:rFonts w:ascii="Times New Roman" w:eastAsia="Times New Roman" w:hAnsi="Times New Roman" w:cs="Times New Roman"/>
        </w:rPr>
        <w:t xml:space="preserve"> « Définir : quand le genre s’emmêle… ». Dans : </w:t>
      </w:r>
      <w:r>
        <w:rPr>
          <w:rFonts w:ascii="Times New Roman" w:eastAsia="Times New Roman" w:hAnsi="Times New Roman" w:cs="Times New Roman"/>
          <w:i/>
          <w:iCs/>
        </w:rPr>
        <w:t>La promotion de la santé au prisme du genre</w:t>
      </w:r>
      <w:r>
        <w:rPr>
          <w:rFonts w:ascii="Times New Roman" w:eastAsia="Times New Roman" w:hAnsi="Times New Roman" w:cs="Times New Roman"/>
        </w:rPr>
        <w:t xml:space="preserve">. Presses de l’EHESP, 2019, p. 19–45. </w:t>
      </w:r>
      <w:hyperlink r:id="rId35">
        <w:r>
          <w:rPr>
            <w:rFonts w:ascii="Times New Roman" w:eastAsia="Times New Roman" w:hAnsi="Times New Roman" w:cs="Times New Roman"/>
            <w:color w:val="1155CC"/>
            <w:u w:val="single"/>
          </w:rPr>
          <w:t>https://shs.cairn.info/la-promotion-de-la-sa-au-prisme-du-genre--9782810907151-page-19</w:t>
        </w:r>
      </w:hyperlink>
    </w:p>
    <w:p w14:paraId="0000097D" w14:textId="77777777" w:rsidR="004E766C" w:rsidRDefault="00000000">
      <w:pPr>
        <w:numPr>
          <w:ilvl w:val="0"/>
          <w:numId w:val="46"/>
        </w:numPr>
        <w:spacing w:after="240"/>
        <w:rPr>
          <w:rFonts w:ascii="Times New Roman" w:eastAsia="Times New Roman" w:hAnsi="Times New Roman" w:cs="Times New Roman"/>
        </w:rPr>
      </w:pPr>
      <w:r>
        <w:rPr>
          <w:rFonts w:ascii="Times New Roman" w:eastAsia="Times New Roman" w:hAnsi="Times New Roman" w:cs="Times New Roman"/>
          <w:b/>
          <w:bCs/>
        </w:rPr>
        <w:t>Spivak, Gayatri Chakravorty.</w:t>
      </w:r>
      <w:r>
        <w:rPr>
          <w:rFonts w:ascii="Times New Roman" w:eastAsia="Times New Roman" w:hAnsi="Times New Roman" w:cs="Times New Roman"/>
        </w:rPr>
        <w:t xml:space="preserve"> « Can the </w:t>
      </w:r>
      <w:proofErr w:type="spellStart"/>
      <w:r>
        <w:rPr>
          <w:rFonts w:ascii="Times New Roman" w:eastAsia="Times New Roman" w:hAnsi="Times New Roman" w:cs="Times New Roman"/>
        </w:rPr>
        <w:t>Subaltern</w:t>
      </w:r>
      <w:proofErr w:type="spellEnd"/>
      <w:r>
        <w:rPr>
          <w:rFonts w:ascii="Times New Roman" w:eastAsia="Times New Roman" w:hAnsi="Times New Roman" w:cs="Times New Roman"/>
        </w:rPr>
        <w:t xml:space="preserve"> </w:t>
      </w:r>
      <w:proofErr w:type="spellStart"/>
      <w:proofErr w:type="gramStart"/>
      <w:r>
        <w:rPr>
          <w:rFonts w:ascii="Times New Roman" w:eastAsia="Times New Roman" w:hAnsi="Times New Roman" w:cs="Times New Roman"/>
        </w:rPr>
        <w:t>Speak</w:t>
      </w:r>
      <w:proofErr w:type="spellEnd"/>
      <w:r>
        <w:rPr>
          <w:rFonts w:ascii="Times New Roman" w:eastAsia="Times New Roman" w:hAnsi="Times New Roman" w:cs="Times New Roman"/>
        </w:rPr>
        <w:t>?</w:t>
      </w:r>
      <w:proofErr w:type="gramEnd"/>
      <w:r>
        <w:rPr>
          <w:rFonts w:ascii="Times New Roman" w:eastAsia="Times New Roman" w:hAnsi="Times New Roman" w:cs="Times New Roman"/>
        </w:rPr>
        <w:t xml:space="preserve"> ». </w:t>
      </w:r>
      <w:proofErr w:type="spellStart"/>
      <w:r>
        <w:rPr>
          <w:rFonts w:ascii="Times New Roman" w:eastAsia="Times New Roman" w:hAnsi="Times New Roman" w:cs="Times New Roman"/>
          <w:i/>
          <w:iCs/>
        </w:rPr>
        <w:t>Marxism</w:t>
      </w:r>
      <w:proofErr w:type="spellEnd"/>
      <w:r>
        <w:rPr>
          <w:rFonts w:ascii="Times New Roman" w:eastAsia="Times New Roman" w:hAnsi="Times New Roman" w:cs="Times New Roman"/>
          <w:i/>
          <w:iCs/>
        </w:rPr>
        <w:t xml:space="preserve"> and the </w:t>
      </w:r>
      <w:proofErr w:type="spellStart"/>
      <w:r>
        <w:rPr>
          <w:rFonts w:ascii="Times New Roman" w:eastAsia="Times New Roman" w:hAnsi="Times New Roman" w:cs="Times New Roman"/>
          <w:i/>
          <w:iCs/>
        </w:rPr>
        <w:t>Interpretation</w:t>
      </w:r>
      <w:proofErr w:type="spellEnd"/>
      <w:r>
        <w:rPr>
          <w:rFonts w:ascii="Times New Roman" w:eastAsia="Times New Roman" w:hAnsi="Times New Roman" w:cs="Times New Roman"/>
          <w:i/>
          <w:iCs/>
        </w:rPr>
        <w:t xml:space="preserve"> of Culture</w:t>
      </w:r>
      <w:r>
        <w:rPr>
          <w:rFonts w:ascii="Times New Roman" w:eastAsia="Times New Roman" w:hAnsi="Times New Roman" w:cs="Times New Roman"/>
        </w:rPr>
        <w:t xml:space="preserve">, dirigé par Cary Nelson et Lawrence </w:t>
      </w:r>
      <w:proofErr w:type="spellStart"/>
      <w:r>
        <w:rPr>
          <w:rFonts w:ascii="Times New Roman" w:eastAsia="Times New Roman" w:hAnsi="Times New Roman" w:cs="Times New Roman"/>
        </w:rPr>
        <w:t>Grossberg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University</w:t>
      </w:r>
      <w:proofErr w:type="spellEnd"/>
      <w:r>
        <w:rPr>
          <w:rFonts w:ascii="Times New Roman" w:eastAsia="Times New Roman" w:hAnsi="Times New Roman" w:cs="Times New Roman"/>
        </w:rPr>
        <w:t xml:space="preserve"> of Illinois </w:t>
      </w:r>
      <w:proofErr w:type="spellStart"/>
      <w:r>
        <w:rPr>
          <w:rFonts w:ascii="Times New Roman" w:eastAsia="Times New Roman" w:hAnsi="Times New Roman" w:cs="Times New Roman"/>
        </w:rPr>
        <w:t>Press</w:t>
      </w:r>
      <w:proofErr w:type="spellEnd"/>
      <w:r>
        <w:rPr>
          <w:rFonts w:ascii="Times New Roman" w:eastAsia="Times New Roman" w:hAnsi="Times New Roman" w:cs="Times New Roman"/>
        </w:rPr>
        <w:t xml:space="preserve">, 1988, pp. 271-313. </w:t>
      </w:r>
      <w:hyperlink r:id="rId36">
        <w:r>
          <w:rPr>
            <w:rFonts w:ascii="Times New Roman" w:eastAsia="Times New Roman" w:hAnsi="Times New Roman" w:cs="Times New Roman"/>
            <w:color w:val="1155CC"/>
            <w:u w:val="single"/>
          </w:rPr>
          <w:t>https://jan.ucc.nau.edu/~sj6/Spivak%20CanTheSubalternSpeak.pdf</w:t>
        </w:r>
      </w:hyperlink>
    </w:p>
    <w:p w14:paraId="0000097E" w14:textId="77777777" w:rsidR="004E766C" w:rsidRDefault="004E766C">
      <w:pPr>
        <w:pStyle w:val="Titre3"/>
        <w:keepNext w:val="0"/>
        <w:keepLines w:val="0"/>
        <w:spacing w:before="280" w:after="80" w:line="276" w:lineRule="auto"/>
        <w:ind w:firstLine="0"/>
        <w:jc w:val="left"/>
        <w:rPr>
          <w:sz w:val="26"/>
          <w:szCs w:val="26"/>
        </w:rPr>
      </w:pPr>
      <w:bookmarkStart w:id="77" w:name="_heading=h.sm568aop1oi6" w:colFirst="0" w:colLast="0"/>
      <w:bookmarkEnd w:id="77"/>
    </w:p>
    <w:p w14:paraId="0000097F" w14:textId="77777777" w:rsidR="004E766C" w:rsidRDefault="00000000">
      <w:pPr>
        <w:pStyle w:val="Titre3"/>
        <w:keepNext w:val="0"/>
        <w:keepLines w:val="0"/>
        <w:spacing w:before="280" w:after="80" w:line="276" w:lineRule="auto"/>
        <w:ind w:firstLine="0"/>
        <w:jc w:val="left"/>
        <w:rPr>
          <w:sz w:val="26"/>
          <w:szCs w:val="26"/>
        </w:rPr>
      </w:pPr>
      <w:bookmarkStart w:id="78" w:name="_heading=h.ayiu08w3f2rp" w:colFirst="0" w:colLast="0"/>
      <w:bookmarkEnd w:id="78"/>
      <w:r>
        <w:rPr>
          <w:sz w:val="26"/>
          <w:szCs w:val="26"/>
        </w:rPr>
        <w:t xml:space="preserve">Ouvrages </w:t>
      </w:r>
    </w:p>
    <w:p w14:paraId="00000980"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Ahmed, Sara.</w:t>
      </w:r>
      <w:r>
        <w:rPr>
          <w:rFonts w:ascii="Times New Roman" w:eastAsia="Times New Roman" w:hAnsi="Times New Roman" w:cs="Times New Roman"/>
        </w:rPr>
        <w:t xml:space="preserve"> </w:t>
      </w:r>
      <w:r>
        <w:rPr>
          <w:rFonts w:ascii="Times New Roman" w:eastAsia="Times New Roman" w:hAnsi="Times New Roman" w:cs="Times New Roman"/>
          <w:i/>
          <w:iCs/>
        </w:rPr>
        <w:t xml:space="preserve">Strange </w:t>
      </w:r>
      <w:proofErr w:type="spellStart"/>
      <w:proofErr w:type="gramStart"/>
      <w:r>
        <w:rPr>
          <w:rFonts w:ascii="Times New Roman" w:eastAsia="Times New Roman" w:hAnsi="Times New Roman" w:cs="Times New Roman"/>
          <w:i/>
          <w:iCs/>
        </w:rPr>
        <w:t>Encounters</w:t>
      </w:r>
      <w:proofErr w:type="spellEnd"/>
      <w:r>
        <w:rPr>
          <w:rFonts w:ascii="Times New Roman" w:eastAsia="Times New Roman" w:hAnsi="Times New Roman" w:cs="Times New Roman"/>
          <w:i/>
          <w:iCs/>
        </w:rPr>
        <w:t>:</w:t>
      </w:r>
      <w:proofErr w:type="gram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Embodied</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Others</w:t>
      </w:r>
      <w:proofErr w:type="spellEnd"/>
      <w:r>
        <w:rPr>
          <w:rFonts w:ascii="Times New Roman" w:eastAsia="Times New Roman" w:hAnsi="Times New Roman" w:cs="Times New Roman"/>
          <w:i/>
          <w:iCs/>
        </w:rPr>
        <w:t xml:space="preserve"> in Post-</w:t>
      </w:r>
      <w:proofErr w:type="spellStart"/>
      <w:r>
        <w:rPr>
          <w:rFonts w:ascii="Times New Roman" w:eastAsia="Times New Roman" w:hAnsi="Times New Roman" w:cs="Times New Roman"/>
          <w:i/>
          <w:iCs/>
        </w:rPr>
        <w:t>Coloniality</w:t>
      </w:r>
      <w:proofErr w:type="spellEnd"/>
      <w:r>
        <w:rPr>
          <w:rFonts w:ascii="Times New Roman" w:eastAsia="Times New Roman" w:hAnsi="Times New Roman" w:cs="Times New Roman"/>
        </w:rPr>
        <w:t>. Routledge, 2000.</w:t>
      </w:r>
    </w:p>
    <w:p w14:paraId="00000981" w14:textId="77777777" w:rsidR="004E766C" w:rsidRDefault="00000000">
      <w:pPr>
        <w:numPr>
          <w:ilvl w:val="0"/>
          <w:numId w:val="39"/>
        </w:numPr>
        <w:rPr>
          <w:rFonts w:ascii="Times New Roman" w:eastAsia="Times New Roman" w:hAnsi="Times New Roman" w:cs="Times New Roman"/>
        </w:rPr>
      </w:pPr>
      <w:proofErr w:type="spellStart"/>
      <w:r>
        <w:rPr>
          <w:rFonts w:ascii="Times New Roman" w:eastAsia="Times New Roman" w:hAnsi="Times New Roman" w:cs="Times New Roman"/>
          <w:b/>
          <w:bCs/>
        </w:rPr>
        <w:t>Bemben</w:t>
      </w:r>
      <w:proofErr w:type="spellEnd"/>
      <w:r>
        <w:rPr>
          <w:rFonts w:ascii="Times New Roman" w:eastAsia="Times New Roman" w:hAnsi="Times New Roman" w:cs="Times New Roman"/>
          <w:b/>
          <w:bCs/>
        </w:rPr>
        <w:t>, Lucas.</w:t>
      </w:r>
      <w:r>
        <w:rPr>
          <w:rFonts w:ascii="Times New Roman" w:eastAsia="Times New Roman" w:hAnsi="Times New Roman" w:cs="Times New Roman"/>
        </w:rPr>
        <w:t xml:space="preserve"> </w:t>
      </w:r>
      <w:r>
        <w:rPr>
          <w:rFonts w:ascii="Times New Roman" w:eastAsia="Times New Roman" w:hAnsi="Times New Roman" w:cs="Times New Roman"/>
          <w:i/>
          <w:iCs/>
        </w:rPr>
        <w:t>Les enjeux de la pratique professionnelle médico-sociale. Repères historiques, légaux et éthiques</w:t>
      </w:r>
      <w:r>
        <w:rPr>
          <w:rFonts w:ascii="Times New Roman" w:eastAsia="Times New Roman" w:hAnsi="Times New Roman" w:cs="Times New Roman"/>
        </w:rPr>
        <w:t xml:space="preserve">. Trames, </w:t>
      </w:r>
      <w:proofErr w:type="spellStart"/>
      <w:r>
        <w:rPr>
          <w:rFonts w:ascii="Times New Roman" w:eastAsia="Times New Roman" w:hAnsi="Times New Roman" w:cs="Times New Roman"/>
        </w:rPr>
        <w:t>Érès</w:t>
      </w:r>
      <w:proofErr w:type="spellEnd"/>
      <w:r>
        <w:rPr>
          <w:rFonts w:ascii="Times New Roman" w:eastAsia="Times New Roman" w:hAnsi="Times New Roman" w:cs="Times New Roman"/>
        </w:rPr>
        <w:t>, 2022.</w:t>
      </w:r>
    </w:p>
    <w:p w14:paraId="00000982"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Collins, Patricia Hill.</w:t>
      </w:r>
      <w:r>
        <w:rPr>
          <w:rFonts w:ascii="Times New Roman" w:eastAsia="Times New Roman" w:hAnsi="Times New Roman" w:cs="Times New Roman"/>
        </w:rPr>
        <w:t xml:space="preserve"> </w:t>
      </w:r>
      <w:r>
        <w:rPr>
          <w:rFonts w:ascii="Times New Roman" w:eastAsia="Times New Roman" w:hAnsi="Times New Roman" w:cs="Times New Roman"/>
          <w:i/>
          <w:iCs/>
        </w:rPr>
        <w:t xml:space="preserve">Black </w:t>
      </w:r>
      <w:proofErr w:type="spellStart"/>
      <w:r>
        <w:rPr>
          <w:rFonts w:ascii="Times New Roman" w:eastAsia="Times New Roman" w:hAnsi="Times New Roman" w:cs="Times New Roman"/>
          <w:i/>
          <w:iCs/>
        </w:rPr>
        <w:t>Feminist</w:t>
      </w:r>
      <w:proofErr w:type="spellEnd"/>
      <w:r>
        <w:rPr>
          <w:rFonts w:ascii="Times New Roman" w:eastAsia="Times New Roman" w:hAnsi="Times New Roman" w:cs="Times New Roman"/>
          <w:i/>
          <w:iCs/>
        </w:rPr>
        <w:t xml:space="preserve"> </w:t>
      </w:r>
      <w:proofErr w:type="spellStart"/>
      <w:proofErr w:type="gramStart"/>
      <w:r>
        <w:rPr>
          <w:rFonts w:ascii="Times New Roman" w:eastAsia="Times New Roman" w:hAnsi="Times New Roman" w:cs="Times New Roman"/>
          <w:i/>
          <w:iCs/>
        </w:rPr>
        <w:t>Thought</w:t>
      </w:r>
      <w:proofErr w:type="spellEnd"/>
      <w:r>
        <w:rPr>
          <w:rFonts w:ascii="Times New Roman" w:eastAsia="Times New Roman" w:hAnsi="Times New Roman" w:cs="Times New Roman"/>
          <w:i/>
          <w:iCs/>
        </w:rPr>
        <w:t>:</w:t>
      </w:r>
      <w:proofErr w:type="gram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Knowledge</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Consciousness</w:t>
      </w:r>
      <w:proofErr w:type="spellEnd"/>
      <w:r>
        <w:rPr>
          <w:rFonts w:ascii="Times New Roman" w:eastAsia="Times New Roman" w:hAnsi="Times New Roman" w:cs="Times New Roman"/>
          <w:i/>
          <w:iCs/>
        </w:rPr>
        <w:t xml:space="preserve">, and the </w:t>
      </w:r>
      <w:proofErr w:type="spellStart"/>
      <w:r>
        <w:rPr>
          <w:rFonts w:ascii="Times New Roman" w:eastAsia="Times New Roman" w:hAnsi="Times New Roman" w:cs="Times New Roman"/>
          <w:i/>
          <w:iCs/>
        </w:rPr>
        <w:t>Politics</w:t>
      </w:r>
      <w:proofErr w:type="spellEnd"/>
      <w:r>
        <w:rPr>
          <w:rFonts w:ascii="Times New Roman" w:eastAsia="Times New Roman" w:hAnsi="Times New Roman" w:cs="Times New Roman"/>
          <w:i/>
          <w:iCs/>
        </w:rPr>
        <w:t xml:space="preserve"> of </w:t>
      </w:r>
      <w:proofErr w:type="spellStart"/>
      <w:r>
        <w:rPr>
          <w:rFonts w:ascii="Times New Roman" w:eastAsia="Times New Roman" w:hAnsi="Times New Roman" w:cs="Times New Roman"/>
          <w:i/>
          <w:iCs/>
        </w:rPr>
        <w:t>Empowerment</w:t>
      </w:r>
      <w:proofErr w:type="spellEnd"/>
      <w:r>
        <w:rPr>
          <w:rFonts w:ascii="Times New Roman" w:eastAsia="Times New Roman" w:hAnsi="Times New Roman" w:cs="Times New Roman"/>
        </w:rPr>
        <w:t>. Routledge, 1990.</w:t>
      </w:r>
    </w:p>
    <w:p w14:paraId="00000983"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Dubar, Claude, Pierre Tripier, et Valérie Boussard.</w:t>
      </w:r>
      <w:r>
        <w:rPr>
          <w:rFonts w:ascii="Times New Roman" w:eastAsia="Times New Roman" w:hAnsi="Times New Roman" w:cs="Times New Roman"/>
        </w:rPr>
        <w:t xml:space="preserve"> </w:t>
      </w:r>
      <w:r>
        <w:rPr>
          <w:rFonts w:ascii="Times New Roman" w:eastAsia="Times New Roman" w:hAnsi="Times New Roman" w:cs="Times New Roman"/>
          <w:i/>
          <w:iCs/>
        </w:rPr>
        <w:t>Sociologie des professions</w:t>
      </w:r>
      <w:r>
        <w:rPr>
          <w:rFonts w:ascii="Times New Roman" w:eastAsia="Times New Roman" w:hAnsi="Times New Roman" w:cs="Times New Roman"/>
        </w:rPr>
        <w:t>. 4e éd., Armand Colin, 2015.</w:t>
      </w:r>
    </w:p>
    <w:p w14:paraId="00000984" w14:textId="77777777" w:rsidR="004E766C" w:rsidRDefault="00000000">
      <w:pPr>
        <w:numPr>
          <w:ilvl w:val="0"/>
          <w:numId w:val="39"/>
        </w:numPr>
        <w:rPr>
          <w:rFonts w:ascii="Times New Roman" w:eastAsia="Times New Roman" w:hAnsi="Times New Roman" w:cs="Times New Roman"/>
        </w:rPr>
      </w:pPr>
      <w:proofErr w:type="spellStart"/>
      <w:r>
        <w:rPr>
          <w:rFonts w:ascii="Times New Roman" w:eastAsia="Times New Roman" w:hAnsi="Times New Roman" w:cs="Times New Roman"/>
          <w:b/>
          <w:bCs/>
        </w:rPr>
        <w:t>Dubechot</w:t>
      </w:r>
      <w:proofErr w:type="spellEnd"/>
      <w:r>
        <w:rPr>
          <w:rFonts w:ascii="Times New Roman" w:eastAsia="Times New Roman" w:hAnsi="Times New Roman" w:cs="Times New Roman"/>
          <w:b/>
          <w:bCs/>
        </w:rPr>
        <w:t>, Patrick, et al.</w:t>
      </w:r>
      <w:r>
        <w:rPr>
          <w:rFonts w:ascii="Times New Roman" w:eastAsia="Times New Roman" w:hAnsi="Times New Roman" w:cs="Times New Roman"/>
        </w:rPr>
        <w:t xml:space="preserve"> </w:t>
      </w:r>
      <w:r>
        <w:rPr>
          <w:rFonts w:ascii="Times New Roman" w:eastAsia="Times New Roman" w:hAnsi="Times New Roman" w:cs="Times New Roman"/>
          <w:i/>
          <w:iCs/>
        </w:rPr>
        <w:t>La sociologie au service du travail social</w:t>
      </w:r>
      <w:r>
        <w:rPr>
          <w:rFonts w:ascii="Times New Roman" w:eastAsia="Times New Roman" w:hAnsi="Times New Roman" w:cs="Times New Roman"/>
        </w:rPr>
        <w:t>. Dunod, 2005.</w:t>
      </w:r>
    </w:p>
    <w:p w14:paraId="00000985" w14:textId="77777777" w:rsidR="004E766C" w:rsidRDefault="00000000">
      <w:pPr>
        <w:numPr>
          <w:ilvl w:val="0"/>
          <w:numId w:val="39"/>
        </w:numPr>
        <w:rPr>
          <w:rFonts w:ascii="Times New Roman" w:eastAsia="Times New Roman" w:hAnsi="Times New Roman" w:cs="Times New Roman"/>
        </w:rPr>
      </w:pPr>
      <w:proofErr w:type="spellStart"/>
      <w:r>
        <w:rPr>
          <w:rFonts w:ascii="Times New Roman" w:eastAsia="Times New Roman" w:hAnsi="Times New Roman" w:cs="Times New Roman"/>
          <w:b/>
          <w:bCs/>
        </w:rPr>
        <w:t>Jaspard</w:t>
      </w:r>
      <w:proofErr w:type="spellEnd"/>
      <w:r>
        <w:rPr>
          <w:rFonts w:ascii="Times New Roman" w:eastAsia="Times New Roman" w:hAnsi="Times New Roman" w:cs="Times New Roman"/>
          <w:b/>
          <w:bCs/>
        </w:rPr>
        <w:t>, Maryse.</w:t>
      </w:r>
      <w:r>
        <w:rPr>
          <w:rFonts w:ascii="Times New Roman" w:eastAsia="Times New Roman" w:hAnsi="Times New Roman" w:cs="Times New Roman"/>
        </w:rPr>
        <w:t xml:space="preserve"> </w:t>
      </w:r>
      <w:r>
        <w:rPr>
          <w:rFonts w:ascii="Times New Roman" w:eastAsia="Times New Roman" w:hAnsi="Times New Roman" w:cs="Times New Roman"/>
          <w:i/>
          <w:iCs/>
        </w:rPr>
        <w:t>Les violences contre les femmes</w:t>
      </w:r>
      <w:r>
        <w:rPr>
          <w:rFonts w:ascii="Times New Roman" w:eastAsia="Times New Roman" w:hAnsi="Times New Roman" w:cs="Times New Roman"/>
        </w:rPr>
        <w:t>. La Découverte, 2011, p. 30-62.</w:t>
      </w:r>
    </w:p>
    <w:p w14:paraId="00000986"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Kœnig, Marie-Hélène,</w:t>
      </w:r>
      <w:r>
        <w:rPr>
          <w:rFonts w:ascii="Times New Roman" w:eastAsia="Times New Roman" w:hAnsi="Times New Roman" w:cs="Times New Roman"/>
        </w:rPr>
        <w:t xml:space="preserve"> </w:t>
      </w:r>
      <w:r>
        <w:rPr>
          <w:rFonts w:ascii="Times New Roman" w:eastAsia="Times New Roman" w:hAnsi="Times New Roman" w:cs="Times New Roman"/>
          <w:i/>
          <w:iCs/>
        </w:rPr>
        <w:t>Connaître les publics : Savoir pour agir. La Boîte à outils</w:t>
      </w:r>
      <w:r>
        <w:rPr>
          <w:rFonts w:ascii="Times New Roman" w:eastAsia="Times New Roman" w:hAnsi="Times New Roman" w:cs="Times New Roman"/>
        </w:rPr>
        <w:t xml:space="preserve">. Presses de </w:t>
      </w:r>
      <w:proofErr w:type="spellStart"/>
      <w:r>
        <w:rPr>
          <w:rFonts w:ascii="Times New Roman" w:eastAsia="Times New Roman" w:hAnsi="Times New Roman" w:cs="Times New Roman"/>
        </w:rPr>
        <w:t>l’enssib</w:t>
      </w:r>
      <w:proofErr w:type="spellEnd"/>
      <w:r>
        <w:rPr>
          <w:rFonts w:ascii="Times New Roman" w:eastAsia="Times New Roman" w:hAnsi="Times New Roman" w:cs="Times New Roman"/>
        </w:rPr>
        <w:t>, 1998.</w:t>
      </w:r>
    </w:p>
    <w:p w14:paraId="00000987" w14:textId="77777777" w:rsidR="004E766C" w:rsidRDefault="00000000">
      <w:pPr>
        <w:numPr>
          <w:ilvl w:val="0"/>
          <w:numId w:val="39"/>
        </w:numPr>
        <w:rPr>
          <w:rFonts w:ascii="Times New Roman" w:eastAsia="Times New Roman" w:hAnsi="Times New Roman" w:cs="Times New Roman"/>
        </w:rPr>
      </w:pPr>
      <w:proofErr w:type="spellStart"/>
      <w:r>
        <w:rPr>
          <w:rFonts w:ascii="Times New Roman" w:eastAsia="Times New Roman" w:hAnsi="Times New Roman" w:cs="Times New Roman"/>
          <w:b/>
          <w:bCs/>
        </w:rPr>
        <w:t>Lévinas</w:t>
      </w:r>
      <w:proofErr w:type="spellEnd"/>
      <w:r>
        <w:rPr>
          <w:rFonts w:ascii="Times New Roman" w:eastAsia="Times New Roman" w:hAnsi="Times New Roman" w:cs="Times New Roman"/>
          <w:b/>
          <w:bCs/>
        </w:rPr>
        <w:t>, Emmanuel.</w:t>
      </w:r>
      <w:r>
        <w:rPr>
          <w:rFonts w:ascii="Times New Roman" w:eastAsia="Times New Roman" w:hAnsi="Times New Roman" w:cs="Times New Roman"/>
        </w:rPr>
        <w:t xml:space="preserve"> </w:t>
      </w:r>
      <w:r>
        <w:rPr>
          <w:rFonts w:ascii="Times New Roman" w:eastAsia="Times New Roman" w:hAnsi="Times New Roman" w:cs="Times New Roman"/>
          <w:i/>
          <w:iCs/>
        </w:rPr>
        <w:t>Totalité et Infini : essai sur l'extériorité</w:t>
      </w:r>
      <w:r>
        <w:rPr>
          <w:rFonts w:ascii="Times New Roman" w:eastAsia="Times New Roman" w:hAnsi="Times New Roman" w:cs="Times New Roman"/>
        </w:rPr>
        <w:t>. J. Vrin, 1961.</w:t>
      </w:r>
    </w:p>
    <w:p w14:paraId="00000988"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Mathieu, Nicole-Claude.</w:t>
      </w:r>
      <w:r>
        <w:rPr>
          <w:rFonts w:ascii="Times New Roman" w:eastAsia="Times New Roman" w:hAnsi="Times New Roman" w:cs="Times New Roman"/>
        </w:rPr>
        <w:t xml:space="preserve"> </w:t>
      </w:r>
      <w:r>
        <w:rPr>
          <w:rFonts w:ascii="Times New Roman" w:eastAsia="Times New Roman" w:hAnsi="Times New Roman" w:cs="Times New Roman"/>
          <w:i/>
          <w:iCs/>
        </w:rPr>
        <w:t>L’Anatomie politique II. Usage, déréliction et résilience des femmes</w:t>
      </w:r>
      <w:r>
        <w:rPr>
          <w:rFonts w:ascii="Times New Roman" w:eastAsia="Times New Roman" w:hAnsi="Times New Roman" w:cs="Times New Roman"/>
        </w:rPr>
        <w:t>. La Dispute, 2014.</w:t>
      </w:r>
    </w:p>
    <w:p w14:paraId="00000989"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Merleau-Ponty, Maurice.</w:t>
      </w:r>
      <w:r>
        <w:rPr>
          <w:rFonts w:ascii="Times New Roman" w:eastAsia="Times New Roman" w:hAnsi="Times New Roman" w:cs="Times New Roman"/>
        </w:rPr>
        <w:t xml:space="preserve"> </w:t>
      </w:r>
      <w:r>
        <w:rPr>
          <w:rFonts w:ascii="Times New Roman" w:eastAsia="Times New Roman" w:hAnsi="Times New Roman" w:cs="Times New Roman"/>
          <w:i/>
          <w:iCs/>
        </w:rPr>
        <w:t>Le Visible et l’invisible</w:t>
      </w:r>
      <w:r>
        <w:rPr>
          <w:rFonts w:ascii="Times New Roman" w:eastAsia="Times New Roman" w:hAnsi="Times New Roman" w:cs="Times New Roman"/>
        </w:rPr>
        <w:t>. Gallimard, 1964.</w:t>
      </w:r>
    </w:p>
    <w:p w14:paraId="0000098A" w14:textId="77777777" w:rsidR="004E766C" w:rsidRDefault="00000000">
      <w:pPr>
        <w:numPr>
          <w:ilvl w:val="0"/>
          <w:numId w:val="39"/>
        </w:numPr>
        <w:rPr>
          <w:rFonts w:ascii="Times New Roman" w:eastAsia="Times New Roman" w:hAnsi="Times New Roman" w:cs="Times New Roman"/>
        </w:rPr>
      </w:pPr>
      <w:r>
        <w:rPr>
          <w:rFonts w:ascii="Times New Roman" w:eastAsia="Times New Roman" w:hAnsi="Times New Roman" w:cs="Times New Roman"/>
          <w:b/>
          <w:bCs/>
        </w:rPr>
        <w:t>Rogers, Carl R.</w:t>
      </w:r>
      <w:r>
        <w:rPr>
          <w:rFonts w:ascii="Times New Roman" w:eastAsia="Times New Roman" w:hAnsi="Times New Roman" w:cs="Times New Roman"/>
        </w:rPr>
        <w:t xml:space="preserve"> </w:t>
      </w:r>
      <w:r>
        <w:rPr>
          <w:rFonts w:ascii="Times New Roman" w:eastAsia="Times New Roman" w:hAnsi="Times New Roman" w:cs="Times New Roman"/>
          <w:i/>
          <w:iCs/>
        </w:rPr>
        <w:t>Client-</w:t>
      </w:r>
      <w:proofErr w:type="spellStart"/>
      <w:r>
        <w:rPr>
          <w:rFonts w:ascii="Times New Roman" w:eastAsia="Times New Roman" w:hAnsi="Times New Roman" w:cs="Times New Roman"/>
          <w:i/>
          <w:iCs/>
        </w:rPr>
        <w:t>centered</w:t>
      </w:r>
      <w:proofErr w:type="spellEnd"/>
      <w:r>
        <w:rPr>
          <w:rFonts w:ascii="Times New Roman" w:eastAsia="Times New Roman" w:hAnsi="Times New Roman" w:cs="Times New Roman"/>
          <w:i/>
          <w:iCs/>
        </w:rPr>
        <w:t xml:space="preserve"> </w:t>
      </w:r>
      <w:proofErr w:type="spellStart"/>
      <w:proofErr w:type="gramStart"/>
      <w:r>
        <w:rPr>
          <w:rFonts w:ascii="Times New Roman" w:eastAsia="Times New Roman" w:hAnsi="Times New Roman" w:cs="Times New Roman"/>
          <w:i/>
          <w:iCs/>
        </w:rPr>
        <w:t>therapy</w:t>
      </w:r>
      <w:proofErr w:type="spellEnd"/>
      <w:r>
        <w:rPr>
          <w:rFonts w:ascii="Times New Roman" w:eastAsia="Times New Roman" w:hAnsi="Times New Roman" w:cs="Times New Roman"/>
          <w:i/>
          <w:iCs/>
        </w:rPr>
        <w:t>;</w:t>
      </w:r>
      <w:proofErr w:type="gram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its</w:t>
      </w:r>
      <w:proofErr w:type="spellEnd"/>
      <w:r>
        <w:rPr>
          <w:rFonts w:ascii="Times New Roman" w:eastAsia="Times New Roman" w:hAnsi="Times New Roman" w:cs="Times New Roman"/>
          <w:i/>
          <w:iCs/>
        </w:rPr>
        <w:t xml:space="preserve"> </w:t>
      </w:r>
      <w:proofErr w:type="spellStart"/>
      <w:r>
        <w:rPr>
          <w:rFonts w:ascii="Times New Roman" w:eastAsia="Times New Roman" w:hAnsi="Times New Roman" w:cs="Times New Roman"/>
          <w:i/>
          <w:iCs/>
        </w:rPr>
        <w:t>current</w:t>
      </w:r>
      <w:proofErr w:type="spellEnd"/>
      <w:r>
        <w:rPr>
          <w:rFonts w:ascii="Times New Roman" w:eastAsia="Times New Roman" w:hAnsi="Times New Roman" w:cs="Times New Roman"/>
          <w:i/>
          <w:iCs/>
        </w:rPr>
        <w:t xml:space="preserve"> practice, implications, and </w:t>
      </w:r>
      <w:proofErr w:type="spellStart"/>
      <w:r>
        <w:rPr>
          <w:rFonts w:ascii="Times New Roman" w:eastAsia="Times New Roman" w:hAnsi="Times New Roman" w:cs="Times New Roman"/>
          <w:i/>
          <w:iCs/>
        </w:rPr>
        <w:t>theory</w:t>
      </w:r>
      <w:proofErr w:type="spellEnd"/>
      <w:r>
        <w:rPr>
          <w:rFonts w:ascii="Times New Roman" w:eastAsia="Times New Roman" w:hAnsi="Times New Roman" w:cs="Times New Roman"/>
        </w:rPr>
        <w:t xml:space="preserve">. Houghton </w:t>
      </w:r>
      <w:proofErr w:type="spellStart"/>
      <w:r>
        <w:rPr>
          <w:rFonts w:ascii="Times New Roman" w:eastAsia="Times New Roman" w:hAnsi="Times New Roman" w:cs="Times New Roman"/>
        </w:rPr>
        <w:t>Mifflin</w:t>
      </w:r>
      <w:proofErr w:type="spellEnd"/>
      <w:r>
        <w:rPr>
          <w:rFonts w:ascii="Times New Roman" w:eastAsia="Times New Roman" w:hAnsi="Times New Roman" w:cs="Times New Roman"/>
        </w:rPr>
        <w:t>, 1951.</w:t>
      </w:r>
    </w:p>
    <w:p w14:paraId="0000098B" w14:textId="77777777" w:rsidR="004E766C" w:rsidRDefault="00000000">
      <w:pPr>
        <w:numPr>
          <w:ilvl w:val="0"/>
          <w:numId w:val="39"/>
        </w:numPr>
        <w:spacing w:after="240"/>
        <w:rPr>
          <w:rFonts w:ascii="Times New Roman" w:eastAsia="Times New Roman" w:hAnsi="Times New Roman" w:cs="Times New Roman"/>
        </w:rPr>
      </w:pPr>
      <w:proofErr w:type="spellStart"/>
      <w:r>
        <w:rPr>
          <w:rFonts w:ascii="Times New Roman" w:eastAsia="Times New Roman" w:hAnsi="Times New Roman" w:cs="Times New Roman"/>
          <w:b/>
          <w:bCs/>
        </w:rPr>
        <w:t>Sebbah</w:t>
      </w:r>
      <w:proofErr w:type="spellEnd"/>
      <w:r>
        <w:rPr>
          <w:rFonts w:ascii="Times New Roman" w:eastAsia="Times New Roman" w:hAnsi="Times New Roman" w:cs="Times New Roman"/>
          <w:b/>
          <w:bCs/>
        </w:rPr>
        <w:t>, François-David.</w:t>
      </w:r>
      <w:r>
        <w:rPr>
          <w:rFonts w:ascii="Times New Roman" w:eastAsia="Times New Roman" w:hAnsi="Times New Roman" w:cs="Times New Roman"/>
        </w:rPr>
        <w:t xml:space="preserve"> </w:t>
      </w:r>
      <w:r>
        <w:rPr>
          <w:rFonts w:ascii="Times New Roman" w:eastAsia="Times New Roman" w:hAnsi="Times New Roman" w:cs="Times New Roman"/>
          <w:i/>
          <w:iCs/>
        </w:rPr>
        <w:t>Levinas et Merleau-Ponty</w:t>
      </w:r>
      <w:r>
        <w:rPr>
          <w:rFonts w:ascii="Times New Roman" w:eastAsia="Times New Roman" w:hAnsi="Times New Roman" w:cs="Times New Roman"/>
        </w:rPr>
        <w:t>. Hermann, 2023.</w:t>
      </w:r>
    </w:p>
    <w:p w14:paraId="0000098C" w14:textId="77777777" w:rsidR="004E766C" w:rsidRDefault="004E766C">
      <w:pPr>
        <w:rPr>
          <w:rFonts w:ascii="Times New Roman" w:eastAsia="Times New Roman" w:hAnsi="Times New Roman" w:cs="Times New Roman"/>
        </w:rPr>
      </w:pPr>
    </w:p>
    <w:p w14:paraId="0000098D" w14:textId="77777777" w:rsidR="004E766C" w:rsidRDefault="00000000">
      <w:pPr>
        <w:pStyle w:val="Titre3"/>
        <w:keepNext w:val="0"/>
        <w:keepLines w:val="0"/>
        <w:spacing w:before="280" w:after="80" w:line="276" w:lineRule="auto"/>
        <w:ind w:firstLine="0"/>
        <w:jc w:val="left"/>
        <w:rPr>
          <w:sz w:val="26"/>
          <w:szCs w:val="26"/>
        </w:rPr>
      </w:pPr>
      <w:bookmarkStart w:id="79" w:name="_heading=h.emwo3pj7pnan" w:colFirst="0" w:colLast="0"/>
      <w:bookmarkEnd w:id="79"/>
      <w:r>
        <w:rPr>
          <w:sz w:val="26"/>
          <w:szCs w:val="26"/>
        </w:rPr>
        <w:t>Ressources en lignes</w:t>
      </w:r>
    </w:p>
    <w:p w14:paraId="0000098E" w14:textId="77777777" w:rsidR="004E766C" w:rsidRDefault="00000000">
      <w:pPr>
        <w:numPr>
          <w:ilvl w:val="0"/>
          <w:numId w:val="16"/>
        </w:numPr>
        <w:rPr>
          <w:rFonts w:ascii="Times New Roman" w:eastAsia="Times New Roman" w:hAnsi="Times New Roman" w:cs="Times New Roman"/>
        </w:rPr>
      </w:pPr>
      <w:proofErr w:type="spellStart"/>
      <w:r>
        <w:rPr>
          <w:rFonts w:ascii="Times New Roman" w:eastAsia="Times New Roman" w:hAnsi="Times New Roman" w:cs="Times New Roman"/>
          <w:b/>
          <w:bCs/>
        </w:rPr>
        <w:t>Boussenna</w:t>
      </w:r>
      <w:proofErr w:type="spellEnd"/>
      <w:r>
        <w:rPr>
          <w:rFonts w:ascii="Times New Roman" w:eastAsia="Times New Roman" w:hAnsi="Times New Roman" w:cs="Times New Roman"/>
          <w:b/>
          <w:bCs/>
        </w:rPr>
        <w:t xml:space="preserve"> Youness,</w:t>
      </w:r>
      <w:r>
        <w:rPr>
          <w:rFonts w:ascii="Times New Roman" w:eastAsia="Times New Roman" w:hAnsi="Times New Roman" w:cs="Times New Roman"/>
        </w:rPr>
        <w:t xml:space="preserve"> « Henri Lefebvre : Pour un espace-temps du possible ». </w:t>
      </w:r>
      <w:proofErr w:type="spellStart"/>
      <w:r>
        <w:rPr>
          <w:rFonts w:ascii="Times New Roman" w:eastAsia="Times New Roman" w:hAnsi="Times New Roman" w:cs="Times New Roman"/>
          <w:i/>
          <w:iCs/>
        </w:rPr>
        <w:t>Socialter</w:t>
      </w:r>
      <w:proofErr w:type="spellEnd"/>
      <w:r>
        <w:rPr>
          <w:rFonts w:ascii="Times New Roman" w:eastAsia="Times New Roman" w:hAnsi="Times New Roman" w:cs="Times New Roman"/>
        </w:rPr>
        <w:t xml:space="preserve">, 2024. Consulté le 4 mars 2026. </w:t>
      </w:r>
      <w:hyperlink r:id="rId37">
        <w:r>
          <w:rPr>
            <w:rFonts w:ascii="Times New Roman" w:eastAsia="Times New Roman" w:hAnsi="Times New Roman" w:cs="Times New Roman"/>
            <w:color w:val="1155CC"/>
            <w:u w:val="single"/>
          </w:rPr>
          <w:t>https://www.socialter.fr/article/henri-lefebvre-espace-temps-emancipation</w:t>
        </w:r>
      </w:hyperlink>
    </w:p>
    <w:p w14:paraId="0000098F" w14:textId="77777777" w:rsidR="004E766C" w:rsidRDefault="00000000">
      <w:pPr>
        <w:numPr>
          <w:ilvl w:val="0"/>
          <w:numId w:val="16"/>
        </w:numPr>
        <w:rPr>
          <w:rFonts w:ascii="Times New Roman" w:eastAsia="Times New Roman" w:hAnsi="Times New Roman" w:cs="Times New Roman"/>
        </w:rPr>
      </w:pPr>
      <w:r>
        <w:rPr>
          <w:rFonts w:ascii="Times New Roman" w:eastAsia="Times New Roman" w:hAnsi="Times New Roman" w:cs="Times New Roman"/>
          <w:b/>
          <w:bCs/>
        </w:rPr>
        <w:t xml:space="preserve">« Casa de la </w:t>
      </w:r>
      <w:proofErr w:type="spellStart"/>
      <w:r>
        <w:rPr>
          <w:rFonts w:ascii="Times New Roman" w:eastAsia="Times New Roman" w:hAnsi="Times New Roman" w:cs="Times New Roman"/>
          <w:b/>
          <w:bCs/>
        </w:rPr>
        <w:t>Mujer</w:t>
      </w:r>
      <w:proofErr w:type="spellEnd"/>
      <w:r>
        <w:rPr>
          <w:rFonts w:ascii="Times New Roman" w:eastAsia="Times New Roman" w:hAnsi="Times New Roman" w:cs="Times New Roman"/>
          <w:b/>
          <w:bCs/>
        </w:rPr>
        <w:t xml:space="preserve"> »</w:t>
      </w:r>
      <w:r>
        <w:rPr>
          <w:rFonts w:ascii="Times New Roman" w:eastAsia="Times New Roman" w:hAnsi="Times New Roman" w:cs="Times New Roman"/>
        </w:rPr>
        <w:t xml:space="preserve">. Consulté le 1 octobre 2025. </w:t>
      </w:r>
      <w:hyperlink r:id="rId38">
        <w:r>
          <w:rPr>
            <w:rFonts w:ascii="Times New Roman" w:eastAsia="Times New Roman" w:hAnsi="Times New Roman" w:cs="Times New Roman"/>
            <w:color w:val="1155CC"/>
            <w:u w:val="single"/>
          </w:rPr>
          <w:t>http://www.casadelamujer.org.bo/</w:t>
        </w:r>
      </w:hyperlink>
    </w:p>
    <w:p w14:paraId="00000990" w14:textId="77777777" w:rsidR="004E766C" w:rsidRDefault="00000000">
      <w:pPr>
        <w:numPr>
          <w:ilvl w:val="0"/>
          <w:numId w:val="16"/>
        </w:numPr>
        <w:rPr>
          <w:rFonts w:ascii="Times New Roman" w:eastAsia="Times New Roman" w:hAnsi="Times New Roman" w:cs="Times New Roman"/>
        </w:rPr>
      </w:pPr>
      <w:proofErr w:type="spellStart"/>
      <w:r>
        <w:rPr>
          <w:rFonts w:ascii="Times New Roman" w:eastAsia="Times New Roman" w:hAnsi="Times New Roman" w:cs="Times New Roman"/>
          <w:b/>
          <w:bCs/>
        </w:rPr>
        <w:lastRenderedPageBreak/>
        <w:t>Depoil</w:t>
      </w:r>
      <w:proofErr w:type="spellEnd"/>
      <w:r>
        <w:rPr>
          <w:rFonts w:ascii="Times New Roman" w:eastAsia="Times New Roman" w:hAnsi="Times New Roman" w:cs="Times New Roman"/>
          <w:b/>
          <w:bCs/>
        </w:rPr>
        <w:t xml:space="preserve"> Mathieu,</w:t>
      </w:r>
      <w:r>
        <w:rPr>
          <w:rFonts w:ascii="Times New Roman" w:eastAsia="Times New Roman" w:hAnsi="Times New Roman" w:cs="Times New Roman"/>
        </w:rPr>
        <w:t xml:space="preserve"> « Le pouvoir d’agir : illusion participative du néolibéralisme ? » </w:t>
      </w:r>
      <w:r>
        <w:rPr>
          <w:rFonts w:ascii="Times New Roman" w:eastAsia="Times New Roman" w:hAnsi="Times New Roman" w:cs="Times New Roman"/>
          <w:i/>
          <w:iCs/>
        </w:rPr>
        <w:t>La maison-phare</w:t>
      </w:r>
      <w:r>
        <w:rPr>
          <w:rFonts w:ascii="Times New Roman" w:eastAsia="Times New Roman" w:hAnsi="Times New Roman" w:cs="Times New Roman"/>
        </w:rPr>
        <w:t xml:space="preserve">, 2022. Consulté le 30 mars 2026. </w:t>
      </w:r>
      <w:hyperlink r:id="rId39">
        <w:r>
          <w:rPr>
            <w:rFonts w:ascii="Times New Roman" w:eastAsia="Times New Roman" w:hAnsi="Times New Roman" w:cs="Times New Roman"/>
            <w:color w:val="1155CC"/>
            <w:u w:val="single"/>
          </w:rPr>
          <w:t>https://lamaisonphare.fr/blog/le-pouvoir-dagir-illusion-participative-du-neoliberalisme/</w:t>
        </w:r>
      </w:hyperlink>
    </w:p>
    <w:p w14:paraId="00000991" w14:textId="77777777" w:rsidR="004E766C" w:rsidRDefault="00000000">
      <w:pPr>
        <w:numPr>
          <w:ilvl w:val="0"/>
          <w:numId w:val="16"/>
        </w:numPr>
        <w:rPr>
          <w:rFonts w:ascii="Times New Roman" w:eastAsia="Times New Roman" w:hAnsi="Times New Roman" w:cs="Times New Roman"/>
        </w:rPr>
      </w:pPr>
      <w:proofErr w:type="spellStart"/>
      <w:r>
        <w:rPr>
          <w:rFonts w:ascii="Times New Roman" w:eastAsia="Times New Roman" w:hAnsi="Times New Roman" w:cs="Times New Roman"/>
          <w:b/>
          <w:bCs/>
        </w:rPr>
        <w:t>Dubasque</w:t>
      </w:r>
      <w:proofErr w:type="spellEnd"/>
      <w:r>
        <w:rPr>
          <w:rFonts w:ascii="Times New Roman" w:eastAsia="Times New Roman" w:hAnsi="Times New Roman" w:cs="Times New Roman"/>
          <w:b/>
          <w:bCs/>
        </w:rPr>
        <w:t>, Didier.</w:t>
      </w:r>
      <w:r>
        <w:rPr>
          <w:rFonts w:ascii="Times New Roman" w:eastAsia="Times New Roman" w:hAnsi="Times New Roman" w:cs="Times New Roman"/>
        </w:rPr>
        <w:t xml:space="preserve"> « Les identités professionnelles des travailleurs sociaux : des constructions solides qui savent s’adapter aux besoins de la société ». </w:t>
      </w:r>
      <w:r>
        <w:rPr>
          <w:rFonts w:ascii="Times New Roman" w:eastAsia="Times New Roman" w:hAnsi="Times New Roman" w:cs="Times New Roman"/>
          <w:i/>
          <w:iCs/>
        </w:rPr>
        <w:t xml:space="preserve">Didier </w:t>
      </w:r>
      <w:proofErr w:type="spellStart"/>
      <w:r>
        <w:rPr>
          <w:rFonts w:ascii="Times New Roman" w:eastAsia="Times New Roman" w:hAnsi="Times New Roman" w:cs="Times New Roman"/>
          <w:i/>
          <w:iCs/>
        </w:rPr>
        <w:t>Dubasque</w:t>
      </w:r>
      <w:proofErr w:type="spellEnd"/>
      <w:r>
        <w:rPr>
          <w:rFonts w:ascii="Times New Roman" w:eastAsia="Times New Roman" w:hAnsi="Times New Roman" w:cs="Times New Roman"/>
          <w:i/>
          <w:iCs/>
        </w:rPr>
        <w:t xml:space="preserve"> - Blog</w:t>
      </w:r>
      <w:r>
        <w:rPr>
          <w:rFonts w:ascii="Times New Roman" w:eastAsia="Times New Roman" w:hAnsi="Times New Roman" w:cs="Times New Roman"/>
        </w:rPr>
        <w:t xml:space="preserve">, 14 août 2018. </w:t>
      </w:r>
      <w:hyperlink r:id="rId40">
        <w:r>
          <w:rPr>
            <w:rFonts w:ascii="Times New Roman" w:eastAsia="Times New Roman" w:hAnsi="Times New Roman" w:cs="Times New Roman"/>
            <w:color w:val="1155CC"/>
            <w:u w:val="single"/>
          </w:rPr>
          <w:t>https://dubasque.org/lidentite-professionnelle/</w:t>
        </w:r>
      </w:hyperlink>
    </w:p>
    <w:p w14:paraId="00000992" w14:textId="77777777" w:rsidR="004E766C" w:rsidRDefault="00000000">
      <w:pPr>
        <w:numPr>
          <w:ilvl w:val="0"/>
          <w:numId w:val="16"/>
        </w:numPr>
        <w:rPr>
          <w:rFonts w:ascii="Times New Roman" w:eastAsia="Times New Roman" w:hAnsi="Times New Roman" w:cs="Times New Roman"/>
        </w:rPr>
      </w:pPr>
      <w:proofErr w:type="spellStart"/>
      <w:r>
        <w:rPr>
          <w:rFonts w:ascii="Times New Roman" w:eastAsia="Times New Roman" w:hAnsi="Times New Roman" w:cs="Times New Roman"/>
          <w:b/>
          <w:bCs/>
        </w:rPr>
        <w:t>Paquot</w:t>
      </w:r>
      <w:proofErr w:type="spellEnd"/>
      <w:r>
        <w:rPr>
          <w:rFonts w:ascii="Times New Roman" w:eastAsia="Times New Roman" w:hAnsi="Times New Roman" w:cs="Times New Roman"/>
          <w:b/>
          <w:bCs/>
        </w:rPr>
        <w:t>, Thierry.</w:t>
      </w:r>
      <w:r>
        <w:rPr>
          <w:rFonts w:ascii="Times New Roman" w:eastAsia="Times New Roman" w:hAnsi="Times New Roman" w:cs="Times New Roman"/>
        </w:rPr>
        <w:t xml:space="preserve"> </w:t>
      </w:r>
      <w:r>
        <w:rPr>
          <w:rFonts w:ascii="Times New Roman" w:eastAsia="Times New Roman" w:hAnsi="Times New Roman" w:cs="Times New Roman"/>
          <w:i/>
          <w:iCs/>
        </w:rPr>
        <w:t>Habiter pour exister</w:t>
      </w:r>
      <w:r>
        <w:rPr>
          <w:rFonts w:ascii="Times New Roman" w:eastAsia="Times New Roman" w:hAnsi="Times New Roman" w:cs="Times New Roman"/>
        </w:rPr>
        <w:t xml:space="preserve">. Terre urbaine no 67, Éditions 303, septembre 2021. Consulté le 13 octobre 2025. </w:t>
      </w:r>
      <w:hyperlink r:id="rId41">
        <w:r>
          <w:rPr>
            <w:rFonts w:ascii="Times New Roman" w:eastAsia="Times New Roman" w:hAnsi="Times New Roman" w:cs="Times New Roman"/>
            <w:color w:val="1155CC"/>
            <w:u w:val="single"/>
          </w:rPr>
          <w:t>https://terreurbaine.com/wp-content/uploads/2021/07/303.-Habiter_2021.pdf</w:t>
        </w:r>
      </w:hyperlink>
    </w:p>
    <w:p w14:paraId="00000993" w14:textId="77777777" w:rsidR="004E766C" w:rsidRDefault="00000000">
      <w:pPr>
        <w:numPr>
          <w:ilvl w:val="0"/>
          <w:numId w:val="16"/>
        </w:numPr>
        <w:spacing w:after="240"/>
        <w:rPr>
          <w:rFonts w:ascii="Times New Roman" w:eastAsia="Times New Roman" w:hAnsi="Times New Roman" w:cs="Times New Roman"/>
        </w:rPr>
      </w:pPr>
      <w:r>
        <w:rPr>
          <w:rFonts w:ascii="Times New Roman" w:eastAsia="Times New Roman" w:hAnsi="Times New Roman" w:cs="Times New Roman"/>
          <w:b/>
          <w:bCs/>
        </w:rPr>
        <w:t xml:space="preserve">Winkler, Mary K., et S. D. </w:t>
      </w:r>
      <w:proofErr w:type="spellStart"/>
      <w:r>
        <w:rPr>
          <w:rFonts w:ascii="Times New Roman" w:eastAsia="Times New Roman" w:hAnsi="Times New Roman" w:cs="Times New Roman"/>
          <w:b/>
          <w:bCs/>
        </w:rPr>
        <w:t>Fyffe</w:t>
      </w:r>
      <w:proofErr w:type="spellEnd"/>
      <w:r>
        <w:rPr>
          <w:rFonts w:ascii="Times New Roman" w:eastAsia="Times New Roman" w:hAnsi="Times New Roman" w:cs="Times New Roman"/>
          <w:b/>
          <w:bCs/>
        </w:rPr>
        <w:t>.</w:t>
      </w:r>
      <w:r>
        <w:rPr>
          <w:rFonts w:ascii="Times New Roman" w:eastAsia="Times New Roman" w:hAnsi="Times New Roman" w:cs="Times New Roman"/>
        </w:rPr>
        <w:t xml:space="preserve"> </w:t>
      </w:r>
      <w:proofErr w:type="spellStart"/>
      <w:r>
        <w:rPr>
          <w:rFonts w:ascii="Times New Roman" w:eastAsia="Times New Roman" w:hAnsi="Times New Roman" w:cs="Times New Roman"/>
          <w:i/>
          <w:iCs/>
        </w:rPr>
        <w:t>Strategies</w:t>
      </w:r>
      <w:proofErr w:type="spellEnd"/>
      <w:r>
        <w:rPr>
          <w:rFonts w:ascii="Times New Roman" w:eastAsia="Times New Roman" w:hAnsi="Times New Roman" w:cs="Times New Roman"/>
          <w:i/>
          <w:iCs/>
        </w:rPr>
        <w:t xml:space="preserve"> for </w:t>
      </w:r>
      <w:proofErr w:type="spellStart"/>
      <w:r>
        <w:rPr>
          <w:rFonts w:ascii="Times New Roman" w:eastAsia="Times New Roman" w:hAnsi="Times New Roman" w:cs="Times New Roman"/>
          <w:i/>
          <w:iCs/>
        </w:rPr>
        <w:t>Cultivating</w:t>
      </w:r>
      <w:proofErr w:type="spellEnd"/>
      <w:r>
        <w:rPr>
          <w:rFonts w:ascii="Times New Roman" w:eastAsia="Times New Roman" w:hAnsi="Times New Roman" w:cs="Times New Roman"/>
          <w:i/>
          <w:iCs/>
        </w:rPr>
        <w:t xml:space="preserve"> an </w:t>
      </w:r>
      <w:proofErr w:type="spellStart"/>
      <w:r>
        <w:rPr>
          <w:rFonts w:ascii="Times New Roman" w:eastAsia="Times New Roman" w:hAnsi="Times New Roman" w:cs="Times New Roman"/>
          <w:i/>
          <w:iCs/>
        </w:rPr>
        <w:t>Organizational</w:t>
      </w:r>
      <w:proofErr w:type="spellEnd"/>
      <w:r>
        <w:rPr>
          <w:rFonts w:ascii="Times New Roman" w:eastAsia="Times New Roman" w:hAnsi="Times New Roman" w:cs="Times New Roman"/>
          <w:i/>
          <w:iCs/>
        </w:rPr>
        <w:t xml:space="preserve"> Learning Culture</w:t>
      </w:r>
      <w:r>
        <w:rPr>
          <w:rFonts w:ascii="Times New Roman" w:eastAsia="Times New Roman" w:hAnsi="Times New Roman" w:cs="Times New Roman"/>
        </w:rPr>
        <w:t xml:space="preserve">. Urban Institute, Washington DC, 2016. </w:t>
      </w:r>
      <w:hyperlink r:id="rId42">
        <w:r>
          <w:rPr>
            <w:rFonts w:ascii="Times New Roman" w:eastAsia="Times New Roman" w:hAnsi="Times New Roman" w:cs="Times New Roman"/>
            <w:color w:val="1155CC"/>
            <w:u w:val="single"/>
          </w:rPr>
          <w:t>https://www.urban.org/research/publication/strategies-cultivating-organizational-learning-culture</w:t>
        </w:r>
      </w:hyperlink>
    </w:p>
    <w:p w14:paraId="00000994" w14:textId="77777777" w:rsidR="004E766C" w:rsidRDefault="004E766C">
      <w:pPr>
        <w:rPr>
          <w:rFonts w:ascii="Times New Roman" w:eastAsia="Times New Roman" w:hAnsi="Times New Roman" w:cs="Times New Roman"/>
        </w:rPr>
      </w:pPr>
    </w:p>
    <w:p w14:paraId="00000995" w14:textId="77777777" w:rsidR="004E766C" w:rsidRDefault="00000000">
      <w:pPr>
        <w:pStyle w:val="Titre3"/>
        <w:keepNext w:val="0"/>
        <w:keepLines w:val="0"/>
        <w:spacing w:before="280" w:after="80" w:line="276" w:lineRule="auto"/>
        <w:ind w:firstLine="0"/>
        <w:jc w:val="left"/>
        <w:rPr>
          <w:sz w:val="26"/>
          <w:szCs w:val="26"/>
        </w:rPr>
      </w:pPr>
      <w:bookmarkStart w:id="80" w:name="_heading=h.hxkgjjjibh3k" w:colFirst="0" w:colLast="0"/>
      <w:bookmarkEnd w:id="80"/>
      <w:r>
        <w:rPr>
          <w:sz w:val="26"/>
          <w:szCs w:val="26"/>
        </w:rPr>
        <w:t>Sites web institutionnels</w:t>
      </w:r>
    </w:p>
    <w:p w14:paraId="00000996" w14:textId="77777777" w:rsidR="004E766C"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b/>
          <w:bCs/>
        </w:rPr>
        <w:t>Centre national de ressources textuelles et lexicales (CNRTL),</w:t>
      </w:r>
      <w:r>
        <w:rPr>
          <w:rFonts w:ascii="Times New Roman" w:eastAsia="Times New Roman" w:hAnsi="Times New Roman" w:cs="Times New Roman"/>
        </w:rPr>
        <w:t xml:space="preserve"> Définition de « féminisme ». Consulté le 30 mars 2026. </w:t>
      </w:r>
      <w:hyperlink r:id="rId43">
        <w:r>
          <w:rPr>
            <w:rFonts w:ascii="Times New Roman" w:eastAsia="Times New Roman" w:hAnsi="Times New Roman" w:cs="Times New Roman"/>
            <w:color w:val="1155CC"/>
            <w:u w:val="single"/>
          </w:rPr>
          <w:t>https://www.cnrtl.fr/definition/f%C3%A9minisme#</w:t>
        </w:r>
      </w:hyperlink>
    </w:p>
    <w:p w14:paraId="00000997" w14:textId="77777777" w:rsidR="004E766C"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b/>
          <w:bCs/>
        </w:rPr>
        <w:t>Conseil National de l’Ordre des Médecins.</w:t>
      </w:r>
      <w:r>
        <w:rPr>
          <w:rFonts w:ascii="Times New Roman" w:eastAsia="Times New Roman" w:hAnsi="Times New Roman" w:cs="Times New Roman"/>
        </w:rPr>
        <w:t xml:space="preserve"> </w:t>
      </w:r>
      <w:r>
        <w:rPr>
          <w:rFonts w:ascii="Times New Roman" w:eastAsia="Times New Roman" w:hAnsi="Times New Roman" w:cs="Times New Roman"/>
          <w:i/>
          <w:iCs/>
        </w:rPr>
        <w:t>Serment d’Hippocrate</w:t>
      </w:r>
      <w:r>
        <w:rPr>
          <w:rFonts w:ascii="Times New Roman" w:eastAsia="Times New Roman" w:hAnsi="Times New Roman" w:cs="Times New Roman"/>
        </w:rPr>
        <w:t xml:space="preserve">. Révision de 2012, CNOM, 2012. </w:t>
      </w:r>
      <w:hyperlink r:id="rId44">
        <w:r>
          <w:rPr>
            <w:rFonts w:ascii="Times New Roman" w:eastAsia="Times New Roman" w:hAnsi="Times New Roman" w:cs="Times New Roman"/>
            <w:color w:val="1155CC"/>
            <w:u w:val="single"/>
          </w:rPr>
          <w:t>https://www.conseil-national.medecin.fr/medecin/deontologie/serment-dhippocrate</w:t>
        </w:r>
      </w:hyperlink>
    </w:p>
    <w:p w14:paraId="00000998" w14:textId="77777777" w:rsidR="004E766C" w:rsidRDefault="00000000">
      <w:pPr>
        <w:numPr>
          <w:ilvl w:val="0"/>
          <w:numId w:val="23"/>
        </w:numPr>
        <w:rPr>
          <w:rFonts w:ascii="Times New Roman" w:eastAsia="Times New Roman" w:hAnsi="Times New Roman" w:cs="Times New Roman"/>
        </w:rPr>
      </w:pPr>
      <w:r>
        <w:rPr>
          <w:rFonts w:ascii="Times New Roman" w:eastAsia="Times New Roman" w:hAnsi="Times New Roman" w:cs="Times New Roman"/>
          <w:b/>
          <w:bCs/>
        </w:rPr>
        <w:t>Haute Autorité de santé</w:t>
      </w:r>
      <w:r>
        <w:rPr>
          <w:rFonts w:ascii="Times New Roman" w:eastAsia="Times New Roman" w:hAnsi="Times New Roman" w:cs="Times New Roman"/>
        </w:rPr>
        <w:t xml:space="preserve"> « Recommandations sur le repérage des femmes victimes de violences au sein du couple », Juin 2019. Consulté le 30 mars 2026. </w:t>
      </w:r>
      <w:hyperlink r:id="rId45">
        <w:r>
          <w:rPr>
            <w:rFonts w:ascii="Times New Roman" w:eastAsia="Times New Roman" w:hAnsi="Times New Roman" w:cs="Times New Roman"/>
            <w:color w:val="1155CC"/>
            <w:u w:val="single"/>
          </w:rPr>
          <w:t>https://affairesjuridiques.aphp.fr/textes/haute-autorite-de-sante-recommandations-sur-le-reperage-des-femmes-victimes-de-violences-au-sein-du-couple-juin-2019/</w:t>
        </w:r>
      </w:hyperlink>
    </w:p>
    <w:p w14:paraId="00000999" w14:textId="77777777" w:rsidR="004E766C" w:rsidRDefault="00000000">
      <w:pPr>
        <w:numPr>
          <w:ilvl w:val="0"/>
          <w:numId w:val="23"/>
        </w:numPr>
        <w:spacing w:after="240"/>
        <w:rPr>
          <w:rFonts w:ascii="Times New Roman" w:eastAsia="Times New Roman" w:hAnsi="Times New Roman" w:cs="Times New Roman"/>
        </w:rPr>
      </w:pPr>
      <w:r>
        <w:rPr>
          <w:rFonts w:ascii="Times New Roman" w:eastAsia="Times New Roman" w:hAnsi="Times New Roman" w:cs="Times New Roman"/>
          <w:b/>
          <w:bCs/>
        </w:rPr>
        <w:t>Ministère chargé de l’Égalité entre les femmes et les hommes.</w:t>
      </w:r>
      <w:r>
        <w:rPr>
          <w:rFonts w:ascii="Times New Roman" w:eastAsia="Times New Roman" w:hAnsi="Times New Roman" w:cs="Times New Roman"/>
        </w:rPr>
        <w:t xml:space="preserve"> « Lutte contre les violences faites aux femmes : un guide pour accueillir et accompagner des femmes victimes de violences au sein du couple ». 18 novembre 2024. </w:t>
      </w:r>
      <w:hyperlink r:id="rId46">
        <w:r>
          <w:rPr>
            <w:rFonts w:ascii="Times New Roman" w:eastAsia="Times New Roman" w:hAnsi="Times New Roman" w:cs="Times New Roman"/>
            <w:color w:val="1155CC"/>
            <w:u w:val="single"/>
          </w:rPr>
          <w:t>https://www.egalite-femmes-hommes.gouv.fr/lutte-contre-les-violences-faites-aux-femmes-un-guide-pour-accueillir-et-accompagner-des-femmes-victimes-de-violences-au-sein-du-couple</w:t>
        </w:r>
      </w:hyperlink>
    </w:p>
    <w:p w14:paraId="0000099A" w14:textId="77777777" w:rsidR="004E766C" w:rsidRDefault="004E766C">
      <w:pPr>
        <w:rPr>
          <w:rFonts w:ascii="Times New Roman" w:eastAsia="Times New Roman" w:hAnsi="Times New Roman" w:cs="Times New Roman"/>
        </w:rPr>
      </w:pPr>
    </w:p>
    <w:p w14:paraId="0000099B" w14:textId="77777777" w:rsidR="004E766C" w:rsidRDefault="004E766C">
      <w:pPr>
        <w:ind w:left="480"/>
        <w:rPr>
          <w:rFonts w:ascii="Times New Roman" w:eastAsia="Times New Roman" w:hAnsi="Times New Roman" w:cs="Times New Roman"/>
        </w:rPr>
      </w:pPr>
    </w:p>
    <w:p w14:paraId="0000099C" w14:textId="77777777" w:rsidR="004E766C" w:rsidRDefault="00000000">
      <w:pPr>
        <w:ind w:left="480"/>
        <w:rPr>
          <w:rFonts w:ascii="Times New Roman" w:eastAsia="Times New Roman" w:hAnsi="Times New Roman" w:cs="Times New Roman"/>
        </w:rPr>
      </w:pPr>
      <w:r>
        <w:rPr>
          <w:rFonts w:ascii="Times New Roman" w:eastAsia="Times New Roman" w:hAnsi="Times New Roman" w:cs="Times New Roman"/>
        </w:rPr>
        <w:t xml:space="preserve"> </w:t>
      </w:r>
    </w:p>
    <w:p w14:paraId="0000099D" w14:textId="77777777" w:rsidR="004E766C" w:rsidRDefault="004E766C"/>
    <w:p w14:paraId="0000099E" w14:textId="77777777" w:rsidR="004E766C" w:rsidRDefault="004E766C">
      <w:pPr>
        <w:rPr>
          <w:b/>
          <w:bCs/>
          <w:u w:val="single"/>
        </w:rPr>
      </w:pPr>
    </w:p>
    <w:p w14:paraId="0000099F" w14:textId="77777777" w:rsidR="004E766C" w:rsidRDefault="004E766C">
      <w:pPr>
        <w:rPr>
          <w:b/>
          <w:bCs/>
          <w:u w:val="single"/>
        </w:rPr>
      </w:pPr>
    </w:p>
    <w:p w14:paraId="000009A0" w14:textId="77777777" w:rsidR="004E766C" w:rsidRDefault="004E766C">
      <w:pPr>
        <w:rPr>
          <w:b/>
          <w:bCs/>
          <w:u w:val="single"/>
        </w:rPr>
      </w:pPr>
    </w:p>
    <w:p w14:paraId="000009A1" w14:textId="77777777" w:rsidR="004E766C" w:rsidRDefault="004E766C">
      <w:pPr>
        <w:rPr>
          <w:b/>
          <w:bCs/>
          <w:u w:val="single"/>
        </w:rPr>
      </w:pPr>
    </w:p>
    <w:p w14:paraId="000009A2" w14:textId="77777777" w:rsidR="004E766C" w:rsidRDefault="004E766C">
      <w:pPr>
        <w:rPr>
          <w:b/>
          <w:bCs/>
          <w:u w:val="single"/>
        </w:rPr>
      </w:pPr>
    </w:p>
    <w:p w14:paraId="000009A3" w14:textId="77777777" w:rsidR="004E766C" w:rsidRDefault="004E766C">
      <w:pPr>
        <w:rPr>
          <w:b/>
          <w:bCs/>
          <w:u w:val="single"/>
        </w:rPr>
      </w:pPr>
    </w:p>
    <w:p w14:paraId="000009A4" w14:textId="77777777" w:rsidR="004E766C" w:rsidRDefault="004E766C">
      <w:pPr>
        <w:rPr>
          <w:b/>
          <w:bCs/>
          <w:u w:val="single"/>
        </w:rPr>
      </w:pPr>
    </w:p>
    <w:p w14:paraId="000009A5" w14:textId="77777777" w:rsidR="004E766C" w:rsidRDefault="004E766C"/>
    <w:p w14:paraId="000009A6" w14:textId="77777777" w:rsidR="004E766C" w:rsidRDefault="004E766C"/>
    <w:p w14:paraId="000009A7" w14:textId="77777777" w:rsidR="004E766C" w:rsidRDefault="00000000">
      <w:pPr>
        <w:pStyle w:val="Titre1"/>
        <w:jc w:val="center"/>
      </w:pPr>
      <w:bookmarkStart w:id="81" w:name="_heading=h.8ab8azu0hnsx" w:colFirst="0" w:colLast="0"/>
      <w:bookmarkEnd w:id="81"/>
      <w:r>
        <w:lastRenderedPageBreak/>
        <w:t xml:space="preserve">TABLE DES MATIÈRES : </w:t>
      </w:r>
    </w:p>
    <w:p w14:paraId="000009A8" w14:textId="77777777" w:rsidR="004E766C" w:rsidRDefault="004E766C">
      <w:pPr>
        <w:jc w:val="center"/>
        <w:rPr>
          <w:rFonts w:ascii="Times New Roman" w:eastAsia="Times New Roman" w:hAnsi="Times New Roman" w:cs="Times New Roman"/>
          <w:b/>
          <w:bCs/>
          <w:sz w:val="26"/>
          <w:szCs w:val="26"/>
          <w:u w:val="single"/>
        </w:rPr>
      </w:pPr>
    </w:p>
    <w:sdt>
      <w:sdtPr>
        <w:id w:val="1781085278"/>
        <w:docPartObj>
          <w:docPartGallery w:val="Table of Contents"/>
          <w:docPartUnique/>
        </w:docPartObj>
      </w:sdtPr>
      <w:sdtContent>
        <w:p w14:paraId="000009A9" w14:textId="77777777" w:rsidR="004E766C" w:rsidRDefault="00000000">
          <w:pPr>
            <w:widowControl w:val="0"/>
            <w:tabs>
              <w:tab w:val="right" w:pos="12000"/>
            </w:tabs>
            <w:spacing w:before="60" w:line="240" w:lineRule="auto"/>
            <w:rPr>
              <w:b/>
              <w:bCs/>
              <w:color w:val="000000"/>
            </w:rPr>
          </w:pPr>
          <w:r>
            <w:fldChar w:fldCharType="begin"/>
          </w:r>
          <w:r>
            <w:instrText xml:space="preserve"> TOC \h \u \z \t "Heading 1,1,Heading 2,2,Heading 3,3,Heading 4,4,Heading 5,5,Heading 6,6,"</w:instrText>
          </w:r>
          <w:r>
            <w:fldChar w:fldCharType="separate"/>
          </w:r>
          <w:hyperlink w:anchor="_heading=h.40n73rp7zdxs">
            <w:r>
              <w:rPr>
                <w:rFonts w:ascii="Times New Roman" w:eastAsia="Times New Roman" w:hAnsi="Times New Roman" w:cs="Times New Roman"/>
                <w:b/>
                <w:bCs/>
                <w:color w:val="000000"/>
              </w:rPr>
              <w:t>REMERCIEMENTS</w:t>
            </w:r>
            <w:r>
              <w:rPr>
                <w:rFonts w:ascii="Times New Roman" w:eastAsia="Times New Roman" w:hAnsi="Times New Roman" w:cs="Times New Roman"/>
                <w:b/>
                <w:bCs/>
                <w:color w:val="000000"/>
              </w:rPr>
              <w:tab/>
              <w:t>1</w:t>
            </w:r>
          </w:hyperlink>
        </w:p>
        <w:p w14:paraId="000009AA" w14:textId="77777777" w:rsidR="004E766C" w:rsidRDefault="00000000">
          <w:pPr>
            <w:widowControl w:val="0"/>
            <w:tabs>
              <w:tab w:val="right" w:pos="12000"/>
            </w:tabs>
            <w:spacing w:before="60" w:line="240" w:lineRule="auto"/>
            <w:rPr>
              <w:b/>
              <w:bCs/>
              <w:color w:val="000000"/>
            </w:rPr>
          </w:pPr>
          <w:hyperlink w:anchor="_heading=h.44eyh5gsz1an">
            <w:r>
              <w:rPr>
                <w:rFonts w:ascii="Times New Roman" w:eastAsia="Times New Roman" w:hAnsi="Times New Roman" w:cs="Times New Roman"/>
                <w:b/>
                <w:bCs/>
                <w:color w:val="000000"/>
              </w:rPr>
              <w:t>AVANT PROPOS</w:t>
            </w:r>
            <w:r>
              <w:rPr>
                <w:rFonts w:ascii="Times New Roman" w:eastAsia="Times New Roman" w:hAnsi="Times New Roman" w:cs="Times New Roman"/>
                <w:b/>
                <w:bCs/>
                <w:color w:val="000000"/>
              </w:rPr>
              <w:tab/>
              <w:t>2</w:t>
            </w:r>
          </w:hyperlink>
        </w:p>
        <w:p w14:paraId="000009AB" w14:textId="77777777" w:rsidR="004E766C" w:rsidRDefault="00000000">
          <w:pPr>
            <w:widowControl w:val="0"/>
            <w:tabs>
              <w:tab w:val="right" w:pos="12000"/>
            </w:tabs>
            <w:spacing w:before="60" w:line="240" w:lineRule="auto"/>
            <w:rPr>
              <w:b/>
              <w:bCs/>
              <w:color w:val="000000"/>
            </w:rPr>
          </w:pPr>
          <w:hyperlink w:anchor="_heading=h.i2jfscc65pdk">
            <w:r>
              <w:rPr>
                <w:rFonts w:ascii="Times New Roman" w:eastAsia="Times New Roman" w:hAnsi="Times New Roman" w:cs="Times New Roman"/>
                <w:b/>
                <w:bCs/>
                <w:color w:val="000000"/>
              </w:rPr>
              <w:t>INTRODUCTION</w:t>
            </w:r>
            <w:r>
              <w:rPr>
                <w:rFonts w:ascii="Times New Roman" w:eastAsia="Times New Roman" w:hAnsi="Times New Roman" w:cs="Times New Roman"/>
                <w:b/>
                <w:bCs/>
                <w:color w:val="000000"/>
              </w:rPr>
              <w:tab/>
              <w:t>5</w:t>
            </w:r>
          </w:hyperlink>
        </w:p>
        <w:p w14:paraId="000009AC" w14:textId="77777777" w:rsidR="004E766C" w:rsidRDefault="00000000">
          <w:pPr>
            <w:widowControl w:val="0"/>
            <w:tabs>
              <w:tab w:val="right" w:pos="12000"/>
            </w:tabs>
            <w:spacing w:before="60" w:line="240" w:lineRule="auto"/>
            <w:rPr>
              <w:b/>
              <w:bCs/>
              <w:color w:val="000000"/>
            </w:rPr>
          </w:pPr>
          <w:hyperlink w:anchor="_heading=h.5nzieelohj95">
            <w:r>
              <w:rPr>
                <w:rFonts w:ascii="Times New Roman" w:eastAsia="Times New Roman" w:hAnsi="Times New Roman" w:cs="Times New Roman"/>
                <w:b/>
                <w:bCs/>
                <w:color w:val="000000"/>
              </w:rPr>
              <w:t>ORGANISATION</w:t>
            </w:r>
            <w:r>
              <w:rPr>
                <w:rFonts w:ascii="Times New Roman" w:eastAsia="Times New Roman" w:hAnsi="Times New Roman" w:cs="Times New Roman"/>
                <w:b/>
                <w:bCs/>
                <w:color w:val="000000"/>
              </w:rPr>
              <w:tab/>
              <w:t>6</w:t>
            </w:r>
          </w:hyperlink>
        </w:p>
        <w:p w14:paraId="000009AD" w14:textId="77777777" w:rsidR="004E766C" w:rsidRDefault="004E766C">
          <w:pPr>
            <w:widowControl w:val="0"/>
            <w:tabs>
              <w:tab w:val="right" w:pos="12000"/>
            </w:tabs>
            <w:spacing w:before="60" w:line="240" w:lineRule="auto"/>
            <w:rPr>
              <w:b/>
              <w:bCs/>
              <w:color w:val="000000"/>
            </w:rPr>
          </w:pPr>
        </w:p>
        <w:p w14:paraId="000009AE" w14:textId="77777777" w:rsidR="004E766C" w:rsidRDefault="00000000">
          <w:pPr>
            <w:widowControl w:val="0"/>
            <w:tabs>
              <w:tab w:val="right" w:pos="12000"/>
            </w:tabs>
            <w:spacing w:before="60" w:line="240" w:lineRule="auto"/>
            <w:rPr>
              <w:b/>
              <w:bCs/>
              <w:color w:val="000000"/>
            </w:rPr>
          </w:pPr>
          <w:hyperlink w:anchor="_heading=h.oa4ke0agjxho">
            <w:r>
              <w:rPr>
                <w:rFonts w:ascii="Times New Roman" w:eastAsia="Times New Roman" w:hAnsi="Times New Roman" w:cs="Times New Roman"/>
                <w:b/>
                <w:bCs/>
                <w:color w:val="000000"/>
              </w:rPr>
              <w:t>PARTIE 1 : ÉTAT DE L’ART</w:t>
            </w:r>
            <w:r>
              <w:rPr>
                <w:rFonts w:ascii="Times New Roman" w:eastAsia="Times New Roman" w:hAnsi="Times New Roman" w:cs="Times New Roman"/>
                <w:b/>
                <w:bCs/>
                <w:color w:val="000000"/>
              </w:rPr>
              <w:tab/>
              <w:t>8</w:t>
            </w:r>
          </w:hyperlink>
        </w:p>
        <w:p w14:paraId="000009AF" w14:textId="77777777" w:rsidR="004E766C" w:rsidRDefault="00000000">
          <w:pPr>
            <w:widowControl w:val="0"/>
            <w:tabs>
              <w:tab w:val="right" w:pos="12000"/>
            </w:tabs>
            <w:spacing w:before="60" w:line="240" w:lineRule="auto"/>
            <w:ind w:left="360"/>
            <w:rPr>
              <w:color w:val="000000"/>
            </w:rPr>
          </w:pPr>
          <w:hyperlink w:anchor="_heading=h.ehpl80a3b65u">
            <w:r>
              <w:rPr>
                <w:rFonts w:ascii="Times New Roman" w:eastAsia="Times New Roman" w:hAnsi="Times New Roman" w:cs="Times New Roman"/>
                <w:color w:val="000000"/>
              </w:rPr>
              <w:t>I. Encadrement des notions, approches et concepts : un nécessaire détour académique</w:t>
            </w:r>
            <w:r>
              <w:rPr>
                <w:rFonts w:ascii="Times New Roman" w:eastAsia="Times New Roman" w:hAnsi="Times New Roman" w:cs="Times New Roman"/>
                <w:color w:val="000000"/>
              </w:rPr>
              <w:tab/>
              <w:t>8</w:t>
            </w:r>
          </w:hyperlink>
        </w:p>
        <w:p w14:paraId="000009B0" w14:textId="77777777" w:rsidR="004E766C" w:rsidRDefault="00000000">
          <w:pPr>
            <w:widowControl w:val="0"/>
            <w:tabs>
              <w:tab w:val="right" w:pos="12000"/>
            </w:tabs>
            <w:spacing w:before="60" w:line="240" w:lineRule="auto"/>
            <w:ind w:left="720"/>
            <w:rPr>
              <w:color w:val="000000"/>
            </w:rPr>
          </w:pPr>
          <w:hyperlink w:anchor="_heading=h.d216crzi3syv">
            <w:r>
              <w:rPr>
                <w:rFonts w:ascii="Times New Roman" w:eastAsia="Times New Roman" w:hAnsi="Times New Roman" w:cs="Times New Roman"/>
                <w:color w:val="000000"/>
              </w:rPr>
              <w:t>A. Inhospitalité hospitalière : un paradoxe fondateur</w:t>
            </w:r>
            <w:r>
              <w:rPr>
                <w:rFonts w:ascii="Times New Roman" w:eastAsia="Times New Roman" w:hAnsi="Times New Roman" w:cs="Times New Roman"/>
                <w:color w:val="000000"/>
              </w:rPr>
              <w:tab/>
              <w:t>8</w:t>
            </w:r>
          </w:hyperlink>
        </w:p>
        <w:p w14:paraId="000009B1" w14:textId="77777777" w:rsidR="004E766C" w:rsidRDefault="00000000">
          <w:pPr>
            <w:widowControl w:val="0"/>
            <w:tabs>
              <w:tab w:val="right" w:pos="12000"/>
            </w:tabs>
            <w:spacing w:before="60" w:line="240" w:lineRule="auto"/>
            <w:ind w:left="720"/>
            <w:rPr>
              <w:color w:val="000000"/>
            </w:rPr>
          </w:pPr>
          <w:hyperlink w:anchor="_heading=h.fp3tejrj7o68">
            <w:r>
              <w:rPr>
                <w:rFonts w:ascii="Times New Roman" w:eastAsia="Times New Roman" w:hAnsi="Times New Roman" w:cs="Times New Roman"/>
                <w:color w:val="000000"/>
              </w:rPr>
              <w:t xml:space="preserve">B. </w:t>
            </w:r>
          </w:hyperlink>
          <w:hyperlink w:anchor="_heading=h.fp3tejrj7o68">
            <w:r>
              <w:rPr>
                <w:rFonts w:ascii="Times New Roman" w:eastAsia="Times New Roman" w:hAnsi="Times New Roman" w:cs="Times New Roman"/>
              </w:rPr>
              <w:t>É</w:t>
            </w:r>
          </w:hyperlink>
          <w:hyperlink w:anchor="_heading=h.fp3tejrj7o68">
            <w:r>
              <w:rPr>
                <w:rFonts w:ascii="Times New Roman" w:eastAsia="Times New Roman" w:hAnsi="Times New Roman" w:cs="Times New Roman"/>
                <w:color w:val="000000"/>
              </w:rPr>
              <w:t>léments de définition de plusieurs concepts clés du sujet</w:t>
            </w:r>
            <w:r>
              <w:rPr>
                <w:rFonts w:ascii="Times New Roman" w:eastAsia="Times New Roman" w:hAnsi="Times New Roman" w:cs="Times New Roman"/>
                <w:color w:val="000000"/>
              </w:rPr>
              <w:tab/>
              <w:t>8</w:t>
            </w:r>
          </w:hyperlink>
        </w:p>
        <w:p w14:paraId="000009B2" w14:textId="77777777" w:rsidR="004E766C" w:rsidRDefault="00000000">
          <w:pPr>
            <w:widowControl w:val="0"/>
            <w:tabs>
              <w:tab w:val="right" w:pos="12000"/>
            </w:tabs>
            <w:spacing w:before="60" w:line="240" w:lineRule="auto"/>
            <w:ind w:left="720"/>
            <w:rPr>
              <w:color w:val="000000"/>
            </w:rPr>
          </w:pPr>
          <w:hyperlink w:anchor="_heading=h.cjab2zalip8z">
            <w:r>
              <w:rPr>
                <w:rFonts w:ascii="Times New Roman" w:eastAsia="Times New Roman" w:hAnsi="Times New Roman" w:cs="Times New Roman"/>
                <w:color w:val="000000"/>
              </w:rPr>
              <w:t>C. Habiter un lieu : un enjeu collectif complexe</w:t>
            </w:r>
            <w:r>
              <w:rPr>
                <w:rFonts w:ascii="Times New Roman" w:eastAsia="Times New Roman" w:hAnsi="Times New Roman" w:cs="Times New Roman"/>
                <w:color w:val="000000"/>
              </w:rPr>
              <w:tab/>
              <w:t>9</w:t>
            </w:r>
          </w:hyperlink>
        </w:p>
        <w:p w14:paraId="000009B3" w14:textId="77777777" w:rsidR="004E766C" w:rsidRDefault="00000000">
          <w:pPr>
            <w:widowControl w:val="0"/>
            <w:tabs>
              <w:tab w:val="right" w:pos="12000"/>
            </w:tabs>
            <w:spacing w:before="60" w:line="240" w:lineRule="auto"/>
            <w:ind w:left="1080"/>
            <w:rPr>
              <w:color w:val="000000"/>
            </w:rPr>
          </w:pPr>
          <w:hyperlink w:anchor="_heading=h.uw478hbggg8v">
            <w:r>
              <w:rPr>
                <w:rFonts w:ascii="Times New Roman" w:eastAsia="Times New Roman" w:hAnsi="Times New Roman" w:cs="Times New Roman"/>
                <w:color w:val="000000"/>
              </w:rPr>
              <w:t>𜰄 Habiter un lieu pour habiter son existence</w:t>
            </w:r>
            <w:r>
              <w:rPr>
                <w:rFonts w:ascii="Times New Roman" w:eastAsia="Times New Roman" w:hAnsi="Times New Roman" w:cs="Times New Roman"/>
                <w:color w:val="000000"/>
              </w:rPr>
              <w:tab/>
              <w:t>9</w:t>
            </w:r>
          </w:hyperlink>
        </w:p>
        <w:p w14:paraId="000009B4" w14:textId="77777777" w:rsidR="004E766C" w:rsidRDefault="00000000">
          <w:pPr>
            <w:widowControl w:val="0"/>
            <w:tabs>
              <w:tab w:val="right" w:pos="12000"/>
            </w:tabs>
            <w:spacing w:before="60" w:line="240" w:lineRule="auto"/>
            <w:ind w:left="1080"/>
            <w:rPr>
              <w:color w:val="000000"/>
            </w:rPr>
          </w:pPr>
          <w:hyperlink w:anchor="_heading=h.84vveh5u7fkp">
            <w:r>
              <w:rPr>
                <w:rFonts w:ascii="Times New Roman" w:eastAsia="Times New Roman" w:hAnsi="Times New Roman" w:cs="Times New Roman"/>
                <w:color w:val="000000"/>
              </w:rPr>
              <w:t>𜰀 Habiter pour mieux rêver, rêver pour habiter</w:t>
            </w:r>
            <w:r>
              <w:rPr>
                <w:rFonts w:ascii="Times New Roman" w:eastAsia="Times New Roman" w:hAnsi="Times New Roman" w:cs="Times New Roman"/>
                <w:color w:val="000000"/>
              </w:rPr>
              <w:tab/>
              <w:t>10</w:t>
            </w:r>
          </w:hyperlink>
        </w:p>
        <w:p w14:paraId="000009B5" w14:textId="77777777" w:rsidR="004E766C" w:rsidRDefault="00000000">
          <w:pPr>
            <w:widowControl w:val="0"/>
            <w:tabs>
              <w:tab w:val="right" w:pos="12000"/>
            </w:tabs>
            <w:spacing w:before="60" w:line="240" w:lineRule="auto"/>
            <w:ind w:left="720"/>
            <w:rPr>
              <w:color w:val="000000"/>
            </w:rPr>
          </w:pPr>
          <w:hyperlink w:anchor="_heading=h.mtosmt5pod8d">
            <w:r>
              <w:rPr>
                <w:rFonts w:ascii="Times New Roman" w:eastAsia="Times New Roman" w:hAnsi="Times New Roman" w:cs="Times New Roman"/>
                <w:color w:val="000000"/>
              </w:rPr>
              <w:t>D. La notion de « pouvoir d’agir » et les débats qui l’entourent</w:t>
            </w:r>
            <w:r>
              <w:rPr>
                <w:rFonts w:ascii="Times New Roman" w:eastAsia="Times New Roman" w:hAnsi="Times New Roman" w:cs="Times New Roman"/>
                <w:color w:val="000000"/>
              </w:rPr>
              <w:tab/>
              <w:t>10</w:t>
            </w:r>
          </w:hyperlink>
        </w:p>
        <w:p w14:paraId="000009B6" w14:textId="77777777" w:rsidR="004E766C" w:rsidRDefault="00000000">
          <w:pPr>
            <w:widowControl w:val="0"/>
            <w:tabs>
              <w:tab w:val="right" w:pos="12000"/>
            </w:tabs>
            <w:spacing w:before="60" w:line="240" w:lineRule="auto"/>
            <w:ind w:left="1080"/>
            <w:rPr>
              <w:color w:val="000000"/>
            </w:rPr>
          </w:pPr>
          <w:hyperlink w:anchor="_heading=h.wdw30ccyj89v">
            <w:r>
              <w:rPr>
                <w:rFonts w:ascii="Times New Roman" w:eastAsia="Times New Roman" w:hAnsi="Times New Roman" w:cs="Times New Roman"/>
                <w:color w:val="000000"/>
              </w:rPr>
              <w:t>𜰀 Les différentes conceptions de la notion de pouvoir d’agir</w:t>
            </w:r>
            <w:r>
              <w:rPr>
                <w:rFonts w:ascii="Times New Roman" w:eastAsia="Times New Roman" w:hAnsi="Times New Roman" w:cs="Times New Roman"/>
                <w:color w:val="000000"/>
              </w:rPr>
              <w:tab/>
              <w:t>10</w:t>
            </w:r>
          </w:hyperlink>
        </w:p>
        <w:p w14:paraId="000009B7" w14:textId="77777777" w:rsidR="004E766C" w:rsidRDefault="00000000">
          <w:pPr>
            <w:widowControl w:val="0"/>
            <w:tabs>
              <w:tab w:val="right" w:pos="12000"/>
            </w:tabs>
            <w:spacing w:before="60" w:line="240" w:lineRule="auto"/>
            <w:ind w:left="1080"/>
            <w:rPr>
              <w:color w:val="000000"/>
            </w:rPr>
          </w:pPr>
          <w:hyperlink w:anchor="_heading=h.ez66gqwi784r">
            <w:r>
              <w:rPr>
                <w:rFonts w:ascii="Times New Roman" w:eastAsia="Times New Roman" w:hAnsi="Times New Roman" w:cs="Times New Roman"/>
                <w:color w:val="000000"/>
              </w:rPr>
              <w:t>𜰀 La tension entre individu et collectif dans l’accompagnement des bénéficiaires</w:t>
            </w:r>
            <w:r>
              <w:rPr>
                <w:rFonts w:ascii="Times New Roman" w:eastAsia="Times New Roman" w:hAnsi="Times New Roman" w:cs="Times New Roman"/>
                <w:color w:val="000000"/>
              </w:rPr>
              <w:tab/>
              <w:t>10</w:t>
            </w:r>
          </w:hyperlink>
        </w:p>
        <w:p w14:paraId="000009B8" w14:textId="77777777" w:rsidR="004E766C" w:rsidRDefault="00000000">
          <w:pPr>
            <w:widowControl w:val="0"/>
            <w:tabs>
              <w:tab w:val="right" w:pos="12000"/>
            </w:tabs>
            <w:spacing w:before="60" w:line="240" w:lineRule="auto"/>
            <w:ind w:left="720"/>
            <w:rPr>
              <w:color w:val="000000"/>
            </w:rPr>
          </w:pPr>
          <w:hyperlink w:anchor="_heading=h.hfezu4cr4lph">
            <w:r>
              <w:rPr>
                <w:rFonts w:ascii="Times New Roman" w:eastAsia="Times New Roman" w:hAnsi="Times New Roman" w:cs="Times New Roman"/>
                <w:color w:val="000000"/>
              </w:rPr>
              <w:t>E. Quelle perspective féministe pour la Maison des Femmes ?</w:t>
            </w:r>
            <w:r>
              <w:rPr>
                <w:rFonts w:ascii="Times New Roman" w:eastAsia="Times New Roman" w:hAnsi="Times New Roman" w:cs="Times New Roman"/>
                <w:color w:val="000000"/>
              </w:rPr>
              <w:tab/>
              <w:t>11</w:t>
            </w:r>
          </w:hyperlink>
        </w:p>
        <w:p w14:paraId="000009B9" w14:textId="77777777" w:rsidR="004E766C" w:rsidRDefault="00000000">
          <w:pPr>
            <w:widowControl w:val="0"/>
            <w:tabs>
              <w:tab w:val="right" w:pos="12000"/>
            </w:tabs>
            <w:spacing w:before="60" w:line="240" w:lineRule="auto"/>
            <w:ind w:left="360"/>
            <w:rPr>
              <w:color w:val="000000"/>
            </w:rPr>
          </w:pPr>
          <w:hyperlink w:anchor="_heading=h.xr9tc66bpgic">
            <w:r>
              <w:rPr>
                <w:rFonts w:ascii="Times New Roman" w:eastAsia="Times New Roman" w:hAnsi="Times New Roman" w:cs="Times New Roman"/>
                <w:color w:val="000000"/>
              </w:rPr>
              <w:t>II. Construire une culture commune malgré la diversité des professions</w:t>
            </w:r>
            <w:r>
              <w:rPr>
                <w:rFonts w:ascii="Times New Roman" w:eastAsia="Times New Roman" w:hAnsi="Times New Roman" w:cs="Times New Roman"/>
                <w:color w:val="000000"/>
              </w:rPr>
              <w:tab/>
              <w:t>12</w:t>
            </w:r>
          </w:hyperlink>
        </w:p>
        <w:p w14:paraId="000009BA" w14:textId="77777777" w:rsidR="004E766C" w:rsidRDefault="00000000">
          <w:pPr>
            <w:widowControl w:val="0"/>
            <w:tabs>
              <w:tab w:val="right" w:pos="12000"/>
            </w:tabs>
            <w:spacing w:before="60" w:line="240" w:lineRule="auto"/>
            <w:ind w:left="720"/>
            <w:rPr>
              <w:color w:val="000000"/>
            </w:rPr>
          </w:pPr>
          <w:hyperlink w:anchor="_heading=h.rvqltmcfgedg">
            <w:r>
              <w:rPr>
                <w:rFonts w:ascii="Times New Roman" w:eastAsia="Times New Roman" w:hAnsi="Times New Roman" w:cs="Times New Roman"/>
                <w:color w:val="000000"/>
              </w:rPr>
              <w:t>A. Le concept de culture commune</w:t>
            </w:r>
            <w:r>
              <w:rPr>
                <w:rFonts w:ascii="Times New Roman" w:eastAsia="Times New Roman" w:hAnsi="Times New Roman" w:cs="Times New Roman"/>
                <w:color w:val="000000"/>
              </w:rPr>
              <w:tab/>
              <w:t>12</w:t>
            </w:r>
          </w:hyperlink>
        </w:p>
        <w:p w14:paraId="000009BB" w14:textId="77777777" w:rsidR="004E766C" w:rsidRDefault="00000000">
          <w:pPr>
            <w:widowControl w:val="0"/>
            <w:tabs>
              <w:tab w:val="right" w:pos="12000"/>
            </w:tabs>
            <w:spacing w:before="60" w:line="240" w:lineRule="auto"/>
            <w:ind w:left="720"/>
          </w:pPr>
          <w:hyperlink w:anchor="_heading=h.x99bow2ku6za">
            <w:r>
              <w:rPr>
                <w:rFonts w:ascii="Times New Roman" w:eastAsia="Times New Roman" w:hAnsi="Times New Roman" w:cs="Times New Roman"/>
                <w:color w:val="000000"/>
              </w:rPr>
              <w:t>B. La diversité des professionnelles à la MDF</w:t>
            </w:r>
            <w:r>
              <w:rPr>
                <w:rFonts w:ascii="Times New Roman" w:eastAsia="Times New Roman" w:hAnsi="Times New Roman" w:cs="Times New Roman"/>
                <w:color w:val="000000"/>
              </w:rPr>
              <w:tab/>
              <w:t>13</w:t>
            </w:r>
          </w:hyperlink>
        </w:p>
        <w:p w14:paraId="000009BC" w14:textId="77777777" w:rsidR="004E766C" w:rsidRDefault="00000000">
          <w:pPr>
            <w:widowControl w:val="0"/>
            <w:tabs>
              <w:tab w:val="right" w:pos="12000"/>
            </w:tabs>
            <w:spacing w:before="60" w:line="240" w:lineRule="auto"/>
            <w:ind w:left="360"/>
            <w:rPr>
              <w:color w:val="000000"/>
            </w:rPr>
          </w:pPr>
          <w:hyperlink w:anchor="_heading=h.1sy6826kc2q">
            <w:r>
              <w:rPr>
                <w:rFonts w:ascii="Times New Roman" w:eastAsia="Times New Roman" w:hAnsi="Times New Roman" w:cs="Times New Roman"/>
                <w:color w:val="000000"/>
              </w:rPr>
              <w:t>III. De l'asymétrie éthique à la vulnérabilité située : pour une hospitalité intersectionnelle</w:t>
            </w:r>
            <w:r>
              <w:rPr>
                <w:rFonts w:ascii="Times New Roman" w:eastAsia="Times New Roman" w:hAnsi="Times New Roman" w:cs="Times New Roman"/>
                <w:color w:val="000000"/>
              </w:rPr>
              <w:tab/>
              <w:t>16</w:t>
            </w:r>
          </w:hyperlink>
        </w:p>
        <w:p w14:paraId="000009BD" w14:textId="77777777" w:rsidR="004E766C" w:rsidRDefault="00000000">
          <w:pPr>
            <w:widowControl w:val="0"/>
            <w:tabs>
              <w:tab w:val="right" w:pos="12000"/>
            </w:tabs>
            <w:spacing w:before="60" w:line="240" w:lineRule="auto"/>
            <w:ind w:left="720"/>
            <w:rPr>
              <w:color w:val="000000"/>
            </w:rPr>
          </w:pPr>
          <w:hyperlink w:anchor="_heading=h.uvbuqfrs1136">
            <w:r>
              <w:rPr>
                <w:rFonts w:ascii="Times New Roman" w:eastAsia="Times New Roman" w:hAnsi="Times New Roman" w:cs="Times New Roman"/>
                <w:color w:val="000000"/>
              </w:rPr>
              <w:t>A. L’éthique de la responsabilité confronté à l’incarnation du care</w:t>
            </w:r>
            <w:r>
              <w:rPr>
                <w:rFonts w:ascii="Times New Roman" w:eastAsia="Times New Roman" w:hAnsi="Times New Roman" w:cs="Times New Roman"/>
                <w:color w:val="000000"/>
              </w:rPr>
              <w:tab/>
              <w:t>16</w:t>
            </w:r>
          </w:hyperlink>
        </w:p>
        <w:p w14:paraId="000009BE" w14:textId="77777777" w:rsidR="004E766C" w:rsidRDefault="00000000">
          <w:pPr>
            <w:widowControl w:val="0"/>
            <w:tabs>
              <w:tab w:val="right" w:pos="12000"/>
            </w:tabs>
            <w:spacing w:before="60" w:line="240" w:lineRule="auto"/>
            <w:ind w:left="720"/>
            <w:rPr>
              <w:color w:val="000000"/>
            </w:rPr>
          </w:pPr>
          <w:hyperlink w:anchor="_heading=h.7dtrq13fuhh0">
            <w:r>
              <w:rPr>
                <w:rFonts w:ascii="Times New Roman" w:eastAsia="Times New Roman" w:hAnsi="Times New Roman" w:cs="Times New Roman"/>
                <w:color w:val="000000"/>
              </w:rPr>
              <w:t>B. Penser l’altérité incarnée : vers une hospitalité des corps dominés</w:t>
            </w:r>
            <w:r>
              <w:rPr>
                <w:rFonts w:ascii="Times New Roman" w:eastAsia="Times New Roman" w:hAnsi="Times New Roman" w:cs="Times New Roman"/>
                <w:color w:val="000000"/>
              </w:rPr>
              <w:tab/>
              <w:t>17</w:t>
            </w:r>
          </w:hyperlink>
        </w:p>
        <w:p w14:paraId="000009BF" w14:textId="77777777" w:rsidR="004E766C" w:rsidRDefault="00000000">
          <w:pPr>
            <w:widowControl w:val="0"/>
            <w:tabs>
              <w:tab w:val="right" w:pos="12000"/>
            </w:tabs>
            <w:spacing w:before="60" w:line="240" w:lineRule="auto"/>
            <w:ind w:left="720"/>
            <w:rPr>
              <w:rFonts w:ascii="Times New Roman" w:eastAsia="Times New Roman" w:hAnsi="Times New Roman" w:cs="Times New Roman"/>
              <w:color w:val="000000"/>
            </w:rPr>
          </w:pPr>
          <w:hyperlink w:anchor="_heading=h.vfggq968wzr3">
            <w:r>
              <w:rPr>
                <w:rFonts w:ascii="Times New Roman" w:eastAsia="Times New Roman" w:hAnsi="Times New Roman" w:cs="Times New Roman"/>
                <w:color w:val="000000"/>
              </w:rPr>
              <w:t>C. L’hospitalité et le soin à l’épreuve du genre : déconstruire les biais de la prise en charge trans</w:t>
            </w:r>
          </w:hyperlink>
          <w:hyperlink w:anchor="_heading=h.vfggq968wzr3">
            <w:r>
              <w:rPr>
                <w:color w:val="000000"/>
              </w:rPr>
              <w:tab/>
            </w:r>
          </w:hyperlink>
          <w:r>
            <w:fldChar w:fldCharType="begin"/>
          </w:r>
          <w:r>
            <w:instrText xml:space="preserve"> PAGEREF _heading=h.vfggq968wzr3 \h </w:instrText>
          </w:r>
          <w:r>
            <w:fldChar w:fldCharType="separate"/>
          </w:r>
          <w:r>
            <w:rPr>
              <w:rFonts w:ascii="Times New Roman" w:eastAsia="Times New Roman" w:hAnsi="Times New Roman" w:cs="Times New Roman"/>
              <w:color w:val="000000"/>
            </w:rPr>
            <w:t>18</w:t>
          </w:r>
          <w:r>
            <w:fldChar w:fldCharType="end"/>
          </w:r>
        </w:p>
        <w:p w14:paraId="000009C0" w14:textId="77777777" w:rsidR="004E766C" w:rsidRDefault="004E766C">
          <w:pPr>
            <w:widowControl w:val="0"/>
            <w:tabs>
              <w:tab w:val="right" w:pos="12000"/>
            </w:tabs>
            <w:spacing w:before="60" w:line="240" w:lineRule="auto"/>
            <w:rPr>
              <w:rFonts w:ascii="Times New Roman" w:eastAsia="Times New Roman" w:hAnsi="Times New Roman" w:cs="Times New Roman"/>
              <w:color w:val="000000"/>
            </w:rPr>
          </w:pPr>
        </w:p>
        <w:p w14:paraId="000009C1" w14:textId="77777777" w:rsidR="004E766C" w:rsidRDefault="00000000">
          <w:pPr>
            <w:widowControl w:val="0"/>
            <w:tabs>
              <w:tab w:val="right" w:pos="12000"/>
            </w:tabs>
            <w:spacing w:before="60" w:line="240" w:lineRule="auto"/>
            <w:rPr>
              <w:b/>
              <w:bCs/>
              <w:color w:val="000000"/>
            </w:rPr>
          </w:pPr>
          <w:hyperlink w:anchor="_heading=h.rawcem8u5v4o">
            <w:r>
              <w:rPr>
                <w:rFonts w:ascii="Times New Roman" w:eastAsia="Times New Roman" w:hAnsi="Times New Roman" w:cs="Times New Roman"/>
                <w:b/>
                <w:bCs/>
                <w:color w:val="000000"/>
              </w:rPr>
              <w:t>PARTIE 2 : Analyse empirique de l’hospitalité : entre pratiques professionnelles, matérialité du lieu et engagements féministes.</w:t>
            </w:r>
            <w:r>
              <w:rPr>
                <w:rFonts w:ascii="Times New Roman" w:eastAsia="Times New Roman" w:hAnsi="Times New Roman" w:cs="Times New Roman"/>
                <w:b/>
                <w:bCs/>
                <w:color w:val="000000"/>
              </w:rPr>
              <w:tab/>
              <w:t>20</w:t>
            </w:r>
          </w:hyperlink>
        </w:p>
        <w:p w14:paraId="000009C2" w14:textId="77777777" w:rsidR="004E766C" w:rsidRDefault="00000000">
          <w:pPr>
            <w:widowControl w:val="0"/>
            <w:tabs>
              <w:tab w:val="right" w:pos="12000"/>
            </w:tabs>
            <w:spacing w:before="60" w:line="240" w:lineRule="auto"/>
            <w:ind w:left="360"/>
            <w:rPr>
              <w:color w:val="000000"/>
            </w:rPr>
          </w:pPr>
          <w:hyperlink w:anchor="_heading=h.9fptaaj5m2ox">
            <w:r>
              <w:rPr>
                <w:rFonts w:ascii="Times New Roman" w:eastAsia="Times New Roman" w:hAnsi="Times New Roman" w:cs="Times New Roman"/>
                <w:color w:val="000000"/>
              </w:rPr>
              <w:t>I. L’hospitalité en actes : sédimentation d’une culture professionnelle en construction</w:t>
            </w:r>
            <w:r>
              <w:rPr>
                <w:rFonts w:ascii="Times New Roman" w:eastAsia="Times New Roman" w:hAnsi="Times New Roman" w:cs="Times New Roman"/>
                <w:color w:val="000000"/>
              </w:rPr>
              <w:tab/>
              <w:t>21</w:t>
            </w:r>
          </w:hyperlink>
        </w:p>
        <w:p w14:paraId="000009C3" w14:textId="77777777" w:rsidR="004E766C" w:rsidRDefault="00000000">
          <w:pPr>
            <w:widowControl w:val="0"/>
            <w:tabs>
              <w:tab w:val="right" w:pos="12000"/>
            </w:tabs>
            <w:spacing w:before="60" w:line="240" w:lineRule="auto"/>
            <w:ind w:left="720"/>
            <w:rPr>
              <w:color w:val="000000"/>
            </w:rPr>
          </w:pPr>
          <w:hyperlink w:anchor="_heading=h.jb897ex0nugy">
            <w:r>
              <w:rPr>
                <w:rFonts w:ascii="Times New Roman" w:eastAsia="Times New Roman" w:hAnsi="Times New Roman" w:cs="Times New Roman"/>
                <w:color w:val="000000"/>
              </w:rPr>
              <w:t>A. La fabrique de la culture partagée, entre informalité créatrice et réflexion collective</w:t>
            </w:r>
            <w:r>
              <w:rPr>
                <w:rFonts w:ascii="Times New Roman" w:eastAsia="Times New Roman" w:hAnsi="Times New Roman" w:cs="Times New Roman"/>
                <w:color w:val="000000"/>
              </w:rPr>
              <w:tab/>
              <w:t>21</w:t>
            </w:r>
          </w:hyperlink>
        </w:p>
        <w:p w14:paraId="000009C4" w14:textId="77777777" w:rsidR="004E766C" w:rsidRDefault="00000000">
          <w:pPr>
            <w:widowControl w:val="0"/>
            <w:tabs>
              <w:tab w:val="right" w:pos="12000"/>
            </w:tabs>
            <w:spacing w:before="60" w:line="240" w:lineRule="auto"/>
            <w:ind w:left="720"/>
            <w:rPr>
              <w:color w:val="000000"/>
            </w:rPr>
          </w:pPr>
          <w:hyperlink w:anchor="_heading=h.ukigyhveag3g">
            <w:r>
              <w:rPr>
                <w:rFonts w:ascii="Times New Roman" w:eastAsia="Times New Roman" w:hAnsi="Times New Roman" w:cs="Times New Roman"/>
                <w:color w:val="000000"/>
              </w:rPr>
              <w:t>B. La maintenance de l’hospitalité, un travail en perpétuelle évolution</w:t>
            </w:r>
            <w:r>
              <w:rPr>
                <w:rFonts w:ascii="Times New Roman" w:eastAsia="Times New Roman" w:hAnsi="Times New Roman" w:cs="Times New Roman"/>
                <w:color w:val="000000"/>
              </w:rPr>
              <w:tab/>
              <w:t>23</w:t>
            </w:r>
          </w:hyperlink>
        </w:p>
        <w:p w14:paraId="000009C5" w14:textId="77777777" w:rsidR="004E766C" w:rsidRDefault="00000000">
          <w:pPr>
            <w:widowControl w:val="0"/>
            <w:tabs>
              <w:tab w:val="right" w:pos="12000"/>
            </w:tabs>
            <w:spacing w:before="60" w:line="240" w:lineRule="auto"/>
            <w:ind w:left="720"/>
            <w:rPr>
              <w:color w:val="000000"/>
            </w:rPr>
          </w:pPr>
          <w:hyperlink w:anchor="_heading=h.6llyzma9pn59">
            <w:r>
              <w:rPr>
                <w:rFonts w:ascii="Times New Roman" w:eastAsia="Times New Roman" w:hAnsi="Times New Roman" w:cs="Times New Roman"/>
                <w:color w:val="000000"/>
              </w:rPr>
              <w:t>C. Les épreuves du réel : tensions et « angles morts » de l'hospitalité</w:t>
            </w:r>
            <w:r>
              <w:rPr>
                <w:rFonts w:ascii="Times New Roman" w:eastAsia="Times New Roman" w:hAnsi="Times New Roman" w:cs="Times New Roman"/>
                <w:color w:val="000000"/>
              </w:rPr>
              <w:tab/>
              <w:t>24</w:t>
            </w:r>
          </w:hyperlink>
        </w:p>
        <w:p w14:paraId="000009C6" w14:textId="77777777" w:rsidR="004E766C" w:rsidRDefault="00000000">
          <w:pPr>
            <w:widowControl w:val="0"/>
            <w:tabs>
              <w:tab w:val="right" w:pos="12000"/>
            </w:tabs>
            <w:spacing w:before="60" w:line="240" w:lineRule="auto"/>
            <w:ind w:left="360"/>
            <w:rPr>
              <w:color w:val="000000"/>
            </w:rPr>
          </w:pPr>
          <w:hyperlink w:anchor="_heading=h.pqhde6ppfm4">
            <w:r>
              <w:rPr>
                <w:rFonts w:ascii="Times New Roman" w:eastAsia="Times New Roman" w:hAnsi="Times New Roman" w:cs="Times New Roman"/>
                <w:color w:val="000000"/>
              </w:rPr>
              <w:t>II. « Habiter » la Maison des Femmes : une hospitalité qui prend soin par le décor, le lien et le collectif</w:t>
            </w:r>
            <w:r>
              <w:rPr>
                <w:rFonts w:ascii="Times New Roman" w:eastAsia="Times New Roman" w:hAnsi="Times New Roman" w:cs="Times New Roman"/>
                <w:color w:val="000000"/>
              </w:rPr>
              <w:tab/>
              <w:t>26</w:t>
            </w:r>
          </w:hyperlink>
        </w:p>
        <w:p w14:paraId="000009C7" w14:textId="77777777" w:rsidR="004E766C" w:rsidRDefault="00000000">
          <w:pPr>
            <w:widowControl w:val="0"/>
            <w:tabs>
              <w:tab w:val="right" w:pos="12000"/>
            </w:tabs>
            <w:spacing w:before="60" w:line="240" w:lineRule="auto"/>
            <w:ind w:left="720"/>
            <w:rPr>
              <w:color w:val="000000"/>
            </w:rPr>
          </w:pPr>
          <w:hyperlink w:anchor="_heading=h.o4a1xbbv6570">
            <w:r>
              <w:rPr>
                <w:rFonts w:ascii="Times New Roman" w:eastAsia="Times New Roman" w:hAnsi="Times New Roman" w:cs="Times New Roman"/>
                <w:color w:val="000000"/>
              </w:rPr>
              <w:t>A. L’hospitalité à la Maison des Femmes : entre cadre matériel et expérience sensible de l’hospitalité</w:t>
            </w:r>
            <w:r>
              <w:rPr>
                <w:rFonts w:ascii="Times New Roman" w:eastAsia="Times New Roman" w:hAnsi="Times New Roman" w:cs="Times New Roman"/>
                <w:color w:val="000000"/>
              </w:rPr>
              <w:tab/>
              <w:t>26</w:t>
            </w:r>
          </w:hyperlink>
        </w:p>
        <w:p w14:paraId="000009C8" w14:textId="77777777" w:rsidR="004E766C" w:rsidRDefault="00000000">
          <w:pPr>
            <w:widowControl w:val="0"/>
            <w:tabs>
              <w:tab w:val="right" w:pos="12000"/>
            </w:tabs>
            <w:spacing w:before="60" w:line="240" w:lineRule="auto"/>
            <w:ind w:left="1080"/>
            <w:rPr>
              <w:color w:val="000000"/>
            </w:rPr>
          </w:pPr>
          <w:hyperlink w:anchor="_heading=h.1sy4n6bnrfkh">
            <w:r>
              <w:rPr>
                <w:rFonts w:ascii="Times New Roman" w:eastAsia="Times New Roman" w:hAnsi="Times New Roman" w:cs="Times New Roman"/>
                <w:color w:val="000000"/>
              </w:rPr>
              <w:t>𜰀 La Maison des Femmes comme refuge matériel : un espace pensé pour accueillir et apaiser</w:t>
            </w:r>
            <w:r>
              <w:rPr>
                <w:rFonts w:ascii="Times New Roman" w:eastAsia="Times New Roman" w:hAnsi="Times New Roman" w:cs="Times New Roman"/>
                <w:color w:val="000000"/>
              </w:rPr>
              <w:tab/>
              <w:t>26</w:t>
            </w:r>
          </w:hyperlink>
        </w:p>
        <w:p w14:paraId="000009C9" w14:textId="77777777" w:rsidR="004E766C" w:rsidRDefault="00000000">
          <w:pPr>
            <w:widowControl w:val="0"/>
            <w:tabs>
              <w:tab w:val="right" w:pos="12000"/>
            </w:tabs>
            <w:spacing w:before="60" w:line="240" w:lineRule="auto"/>
            <w:ind w:left="720"/>
            <w:rPr>
              <w:color w:val="000000"/>
            </w:rPr>
          </w:pPr>
          <w:hyperlink w:anchor="_heading=h.20p8vj2698i2">
            <w:r>
              <w:rPr>
                <w:rFonts w:ascii="Times New Roman" w:eastAsia="Times New Roman" w:hAnsi="Times New Roman" w:cs="Times New Roman"/>
                <w:color w:val="000000"/>
              </w:rPr>
              <w:t>B. La Maison des Femmes, un lieu hybride :  entre institution de soin et lieu de vie</w:t>
            </w:r>
            <w:r>
              <w:rPr>
                <w:rFonts w:ascii="Times New Roman" w:eastAsia="Times New Roman" w:hAnsi="Times New Roman" w:cs="Times New Roman"/>
                <w:color w:val="000000"/>
              </w:rPr>
              <w:tab/>
              <w:t>27</w:t>
            </w:r>
          </w:hyperlink>
        </w:p>
        <w:p w14:paraId="000009CA" w14:textId="77777777" w:rsidR="004E766C" w:rsidRDefault="00000000">
          <w:pPr>
            <w:widowControl w:val="0"/>
            <w:tabs>
              <w:tab w:val="right" w:pos="12000"/>
            </w:tabs>
            <w:spacing w:before="60" w:line="240" w:lineRule="auto"/>
            <w:ind w:left="1080"/>
            <w:rPr>
              <w:color w:val="000000"/>
            </w:rPr>
          </w:pPr>
          <w:hyperlink w:anchor="_heading=h.w8adnno4yo14">
            <w:r>
              <w:rPr>
                <w:rFonts w:ascii="Times New Roman" w:eastAsia="Times New Roman" w:hAnsi="Times New Roman" w:cs="Times New Roman"/>
                <w:color w:val="000000"/>
              </w:rPr>
              <w:t>𜰀 Faire vivre le lieu : activités collectives, convivialité et soutien entre femmes</w:t>
            </w:r>
            <w:r>
              <w:rPr>
                <w:rFonts w:ascii="Times New Roman" w:eastAsia="Times New Roman" w:hAnsi="Times New Roman" w:cs="Times New Roman"/>
                <w:color w:val="000000"/>
              </w:rPr>
              <w:tab/>
              <w:t>27</w:t>
            </w:r>
          </w:hyperlink>
        </w:p>
        <w:p w14:paraId="000009CB" w14:textId="77777777" w:rsidR="004E766C" w:rsidRDefault="00000000">
          <w:pPr>
            <w:widowControl w:val="0"/>
            <w:tabs>
              <w:tab w:val="right" w:pos="12000"/>
            </w:tabs>
            <w:spacing w:before="60" w:line="240" w:lineRule="auto"/>
            <w:ind w:left="1080"/>
            <w:rPr>
              <w:color w:val="000000"/>
            </w:rPr>
          </w:pPr>
          <w:hyperlink w:anchor="_heading=h.sg8nl48cvwu">
            <w:r>
              <w:rPr>
                <w:rFonts w:ascii="Times New Roman" w:eastAsia="Times New Roman" w:hAnsi="Times New Roman" w:cs="Times New Roman"/>
                <w:color w:val="000000"/>
              </w:rPr>
              <w:t>𜰀 Les tensions d’un lieu pluriel : entre cadre médical et espace refuge</w:t>
            </w:r>
            <w:r>
              <w:rPr>
                <w:rFonts w:ascii="Times New Roman" w:eastAsia="Times New Roman" w:hAnsi="Times New Roman" w:cs="Times New Roman"/>
                <w:color w:val="000000"/>
              </w:rPr>
              <w:tab/>
              <w:t>28</w:t>
            </w:r>
          </w:hyperlink>
        </w:p>
        <w:p w14:paraId="000009CC" w14:textId="77777777" w:rsidR="004E766C" w:rsidRDefault="00000000">
          <w:pPr>
            <w:widowControl w:val="0"/>
            <w:tabs>
              <w:tab w:val="right" w:pos="12000"/>
            </w:tabs>
            <w:spacing w:before="60" w:line="240" w:lineRule="auto"/>
            <w:ind w:left="360"/>
            <w:rPr>
              <w:color w:val="000000"/>
            </w:rPr>
          </w:pPr>
          <w:hyperlink w:anchor="_heading=h.8qlujhicftir">
            <w:r>
              <w:rPr>
                <w:rFonts w:ascii="Times New Roman" w:eastAsia="Times New Roman" w:hAnsi="Times New Roman" w:cs="Times New Roman"/>
                <w:color w:val="000000"/>
              </w:rPr>
              <w:t>III. La Maison des Femmes : vers un refuge « d’inspiration féministe »</w:t>
            </w:r>
            <w:r>
              <w:rPr>
                <w:rFonts w:ascii="Times New Roman" w:eastAsia="Times New Roman" w:hAnsi="Times New Roman" w:cs="Times New Roman"/>
                <w:color w:val="000000"/>
              </w:rPr>
              <w:tab/>
              <w:t>29</w:t>
            </w:r>
          </w:hyperlink>
        </w:p>
        <w:p w14:paraId="000009CD" w14:textId="77777777" w:rsidR="004E766C" w:rsidRDefault="00000000">
          <w:pPr>
            <w:widowControl w:val="0"/>
            <w:tabs>
              <w:tab w:val="right" w:pos="12000"/>
            </w:tabs>
            <w:spacing w:before="60" w:line="240" w:lineRule="auto"/>
            <w:ind w:left="720"/>
            <w:rPr>
              <w:color w:val="000000"/>
            </w:rPr>
          </w:pPr>
          <w:hyperlink w:anchor="_heading=h.d4qvbo5vp41">
            <w:r>
              <w:rPr>
                <w:rFonts w:ascii="Times New Roman" w:eastAsia="Times New Roman" w:hAnsi="Times New Roman" w:cs="Times New Roman"/>
                <w:color w:val="000000"/>
              </w:rPr>
              <w:t>A. La rupture avec la posture d'autorité : une horizontalité militante</w:t>
            </w:r>
            <w:r>
              <w:rPr>
                <w:rFonts w:ascii="Times New Roman" w:eastAsia="Times New Roman" w:hAnsi="Times New Roman" w:cs="Times New Roman"/>
                <w:color w:val="000000"/>
              </w:rPr>
              <w:tab/>
              <w:t>29</w:t>
            </w:r>
          </w:hyperlink>
        </w:p>
        <w:p w14:paraId="000009CE" w14:textId="77777777" w:rsidR="004E766C" w:rsidRDefault="00000000">
          <w:pPr>
            <w:widowControl w:val="0"/>
            <w:tabs>
              <w:tab w:val="right" w:pos="12000"/>
            </w:tabs>
            <w:spacing w:before="60" w:line="240" w:lineRule="auto"/>
            <w:ind w:left="720"/>
            <w:rPr>
              <w:rFonts w:ascii="Times New Roman" w:eastAsia="Times New Roman" w:hAnsi="Times New Roman" w:cs="Times New Roman"/>
              <w:color w:val="000000"/>
            </w:rPr>
          </w:pPr>
          <w:hyperlink w:anchor="_heading=h.3np0gnr6x4t3">
            <w:r>
              <w:rPr>
                <w:rFonts w:ascii="Times New Roman" w:eastAsia="Times New Roman" w:hAnsi="Times New Roman" w:cs="Times New Roman"/>
                <w:color w:val="000000"/>
              </w:rPr>
              <w:t>B. De la souffrance individuelle à la guérison par conscientisation structurelle</w:t>
            </w:r>
            <w:r>
              <w:rPr>
                <w:rFonts w:ascii="Times New Roman" w:eastAsia="Times New Roman" w:hAnsi="Times New Roman" w:cs="Times New Roman"/>
                <w:color w:val="000000"/>
              </w:rPr>
              <w:tab/>
              <w:t>30</w:t>
            </w:r>
          </w:hyperlink>
        </w:p>
        <w:p w14:paraId="000009CF" w14:textId="77777777" w:rsidR="004E766C" w:rsidRDefault="00000000">
          <w:pPr>
            <w:widowControl w:val="0"/>
            <w:tabs>
              <w:tab w:val="right" w:pos="12000"/>
            </w:tabs>
            <w:spacing w:before="60" w:line="240" w:lineRule="auto"/>
            <w:ind w:left="720"/>
            <w:rPr>
              <w:color w:val="000000"/>
            </w:rPr>
          </w:pPr>
          <w:hyperlink w:anchor="_heading=h.j5tdbrn5lm1m">
            <w:r>
              <w:rPr>
                <w:rFonts w:ascii="Times New Roman" w:eastAsia="Times New Roman" w:hAnsi="Times New Roman" w:cs="Times New Roman"/>
                <w:color w:val="000000"/>
              </w:rPr>
              <w:t>C. De la réparation symbolique à la cohésion pluridisciplinaire</w:t>
            </w:r>
            <w:r>
              <w:rPr>
                <w:rFonts w:ascii="Times New Roman" w:eastAsia="Times New Roman" w:hAnsi="Times New Roman" w:cs="Times New Roman"/>
                <w:color w:val="000000"/>
              </w:rPr>
              <w:tab/>
              <w:t>31</w:t>
            </w:r>
          </w:hyperlink>
        </w:p>
        <w:p w14:paraId="000009D0" w14:textId="77777777" w:rsidR="004E766C" w:rsidRDefault="00000000">
          <w:pPr>
            <w:widowControl w:val="0"/>
            <w:tabs>
              <w:tab w:val="right" w:pos="12000"/>
            </w:tabs>
            <w:spacing w:before="60" w:line="240" w:lineRule="auto"/>
            <w:ind w:left="720"/>
          </w:pPr>
          <w:hyperlink w:anchor="_heading=h.ef70976ofx1v">
            <w:r>
              <w:rPr>
                <w:rFonts w:ascii="Times New Roman" w:eastAsia="Times New Roman" w:hAnsi="Times New Roman" w:cs="Times New Roman"/>
                <w:color w:val="000000"/>
              </w:rPr>
              <w:t>D. La « charge mentale de la guérison »</w:t>
            </w:r>
            <w:r>
              <w:rPr>
                <w:rFonts w:ascii="Times New Roman" w:eastAsia="Times New Roman" w:hAnsi="Times New Roman" w:cs="Times New Roman"/>
                <w:color w:val="000000"/>
              </w:rPr>
              <w:tab/>
              <w:t>32</w:t>
            </w:r>
          </w:hyperlink>
        </w:p>
        <w:p w14:paraId="000009D1" w14:textId="77777777" w:rsidR="004E766C" w:rsidRDefault="004E766C">
          <w:pPr>
            <w:widowControl w:val="0"/>
            <w:tabs>
              <w:tab w:val="right" w:pos="12000"/>
            </w:tabs>
            <w:spacing w:before="60" w:line="240" w:lineRule="auto"/>
            <w:ind w:left="720"/>
          </w:pPr>
        </w:p>
        <w:p w14:paraId="000009D2" w14:textId="77777777" w:rsidR="004E766C" w:rsidRDefault="00000000">
          <w:pPr>
            <w:widowControl w:val="0"/>
            <w:tabs>
              <w:tab w:val="right" w:pos="12000"/>
            </w:tabs>
            <w:spacing w:before="60" w:line="240" w:lineRule="auto"/>
            <w:rPr>
              <w:b/>
              <w:bCs/>
            </w:rPr>
          </w:pPr>
          <w:hyperlink w:anchor="_heading=h.vvsistxl57w1">
            <w:r>
              <w:rPr>
                <w:rFonts w:ascii="Times New Roman" w:eastAsia="Times New Roman" w:hAnsi="Times New Roman" w:cs="Times New Roman"/>
                <w:b/>
                <w:bCs/>
                <w:color w:val="000000"/>
              </w:rPr>
              <w:t>PARTIE 3 : Expertise - Charte pour une culture commune de l'hospitalité</w:t>
            </w:r>
            <w:r>
              <w:rPr>
                <w:rFonts w:ascii="Times New Roman" w:eastAsia="Times New Roman" w:hAnsi="Times New Roman" w:cs="Times New Roman"/>
                <w:b/>
                <w:bCs/>
                <w:color w:val="000000"/>
              </w:rPr>
              <w:tab/>
              <w:t>33</w:t>
            </w:r>
          </w:hyperlink>
        </w:p>
        <w:p w14:paraId="000009D3" w14:textId="77777777" w:rsidR="004E766C" w:rsidRDefault="004E766C">
          <w:pPr>
            <w:widowControl w:val="0"/>
            <w:tabs>
              <w:tab w:val="right" w:pos="12000"/>
            </w:tabs>
            <w:spacing w:before="60" w:line="240" w:lineRule="auto"/>
            <w:rPr>
              <w:b/>
              <w:bCs/>
            </w:rPr>
          </w:pPr>
        </w:p>
        <w:p w14:paraId="000009D4" w14:textId="77777777" w:rsidR="004E766C" w:rsidRDefault="00000000">
          <w:pPr>
            <w:widowControl w:val="0"/>
            <w:tabs>
              <w:tab w:val="right" w:pos="12000"/>
            </w:tabs>
            <w:spacing w:before="60" w:line="240" w:lineRule="auto"/>
            <w:rPr>
              <w:b/>
              <w:bCs/>
              <w:color w:val="000000"/>
            </w:rPr>
          </w:pPr>
          <w:hyperlink w:anchor="_heading=h.iyvnksww5wfu">
            <w:r>
              <w:rPr>
                <w:rFonts w:ascii="Times New Roman" w:eastAsia="Times New Roman" w:hAnsi="Times New Roman" w:cs="Times New Roman"/>
                <w:b/>
                <w:bCs/>
                <w:color w:val="000000"/>
              </w:rPr>
              <w:t>CONCLUSION</w:t>
            </w:r>
            <w:r>
              <w:rPr>
                <w:rFonts w:ascii="Times New Roman" w:eastAsia="Times New Roman" w:hAnsi="Times New Roman" w:cs="Times New Roman"/>
                <w:b/>
                <w:bCs/>
                <w:color w:val="000000"/>
              </w:rPr>
              <w:tab/>
              <w:t>39</w:t>
            </w:r>
          </w:hyperlink>
        </w:p>
        <w:p w14:paraId="000009D5" w14:textId="77777777" w:rsidR="004E766C" w:rsidRDefault="00000000">
          <w:pPr>
            <w:widowControl w:val="0"/>
            <w:tabs>
              <w:tab w:val="right" w:pos="12000"/>
            </w:tabs>
            <w:spacing w:before="60" w:line="240" w:lineRule="auto"/>
            <w:rPr>
              <w:b/>
              <w:bCs/>
              <w:color w:val="000000"/>
            </w:rPr>
          </w:pPr>
          <w:hyperlink w:anchor="_heading=h.k5d8xui2ah8o">
            <w:r>
              <w:rPr>
                <w:rFonts w:ascii="Times New Roman" w:eastAsia="Times New Roman" w:hAnsi="Times New Roman" w:cs="Times New Roman"/>
                <w:b/>
                <w:bCs/>
                <w:color w:val="000000"/>
              </w:rPr>
              <w:t>ANNEXES</w:t>
            </w:r>
            <w:r>
              <w:rPr>
                <w:rFonts w:ascii="Times New Roman" w:eastAsia="Times New Roman" w:hAnsi="Times New Roman" w:cs="Times New Roman"/>
                <w:b/>
                <w:bCs/>
                <w:color w:val="000000"/>
              </w:rPr>
              <w:tab/>
              <w:t>41</w:t>
            </w:r>
          </w:hyperlink>
        </w:p>
        <w:p w14:paraId="000009D6" w14:textId="77777777" w:rsidR="004E766C" w:rsidRDefault="00000000">
          <w:pPr>
            <w:widowControl w:val="0"/>
            <w:tabs>
              <w:tab w:val="right" w:pos="12000"/>
            </w:tabs>
            <w:spacing w:before="60" w:line="240" w:lineRule="auto"/>
            <w:ind w:left="360"/>
            <w:rPr>
              <w:color w:val="000000"/>
            </w:rPr>
          </w:pPr>
          <w:hyperlink w:anchor="_heading=h.96rhp8t0vvec">
            <w:r>
              <w:rPr>
                <w:rFonts w:ascii="Times New Roman" w:eastAsia="Times New Roman" w:hAnsi="Times New Roman" w:cs="Times New Roman"/>
                <w:color w:val="000000"/>
              </w:rPr>
              <w:t>ANNEXE 1 : Grille d’entretiens bénéficiaires de la Maison des Femmes</w:t>
            </w:r>
            <w:r>
              <w:rPr>
                <w:rFonts w:ascii="Times New Roman" w:eastAsia="Times New Roman" w:hAnsi="Times New Roman" w:cs="Times New Roman"/>
                <w:color w:val="000000"/>
              </w:rPr>
              <w:tab/>
              <w:t>42</w:t>
            </w:r>
          </w:hyperlink>
        </w:p>
        <w:p w14:paraId="000009D7" w14:textId="77777777" w:rsidR="004E766C" w:rsidRDefault="00000000">
          <w:pPr>
            <w:widowControl w:val="0"/>
            <w:tabs>
              <w:tab w:val="right" w:pos="12000"/>
            </w:tabs>
            <w:spacing w:before="60" w:line="240" w:lineRule="auto"/>
            <w:ind w:left="360"/>
            <w:rPr>
              <w:color w:val="000000"/>
            </w:rPr>
          </w:pPr>
          <w:hyperlink w:anchor="_heading=h.dabbeibr4l63">
            <w:r>
              <w:rPr>
                <w:rFonts w:ascii="Times New Roman" w:eastAsia="Times New Roman" w:hAnsi="Times New Roman" w:cs="Times New Roman"/>
                <w:color w:val="000000"/>
              </w:rPr>
              <w:t>ANNEXE 2 : Grille d’entretiens professionnelles de la Maison des Femmes</w:t>
            </w:r>
            <w:r>
              <w:rPr>
                <w:rFonts w:ascii="Times New Roman" w:eastAsia="Times New Roman" w:hAnsi="Times New Roman" w:cs="Times New Roman"/>
                <w:color w:val="000000"/>
              </w:rPr>
              <w:tab/>
              <w:t>45</w:t>
            </w:r>
          </w:hyperlink>
        </w:p>
        <w:p w14:paraId="000009D8" w14:textId="77777777" w:rsidR="004E766C" w:rsidRDefault="00000000">
          <w:pPr>
            <w:widowControl w:val="0"/>
            <w:tabs>
              <w:tab w:val="right" w:pos="12000"/>
            </w:tabs>
            <w:spacing w:before="60" w:line="240" w:lineRule="auto"/>
            <w:ind w:left="360"/>
            <w:rPr>
              <w:color w:val="000000"/>
            </w:rPr>
          </w:pPr>
          <w:hyperlink w:anchor="_heading=h.heapvqtvlfx4">
            <w:r>
              <w:rPr>
                <w:rFonts w:ascii="Times New Roman" w:eastAsia="Times New Roman" w:hAnsi="Times New Roman" w:cs="Times New Roman"/>
                <w:color w:val="000000"/>
              </w:rPr>
              <w:t>ANNEXE 3 : Grille d’observation de la Maison des Femmes</w:t>
            </w:r>
            <w:r>
              <w:rPr>
                <w:rFonts w:ascii="Times New Roman" w:eastAsia="Times New Roman" w:hAnsi="Times New Roman" w:cs="Times New Roman"/>
                <w:color w:val="000000"/>
              </w:rPr>
              <w:tab/>
              <w:t>48</w:t>
            </w:r>
          </w:hyperlink>
        </w:p>
        <w:p w14:paraId="000009D9" w14:textId="77777777" w:rsidR="004E766C" w:rsidRDefault="00000000">
          <w:pPr>
            <w:widowControl w:val="0"/>
            <w:tabs>
              <w:tab w:val="right" w:pos="12000"/>
            </w:tabs>
            <w:spacing w:before="60" w:line="240" w:lineRule="auto"/>
            <w:ind w:left="360"/>
            <w:rPr>
              <w:color w:val="000000"/>
            </w:rPr>
          </w:pPr>
          <w:hyperlink w:anchor="_heading=h.45gprxupc28l">
            <w:r>
              <w:rPr>
                <w:rFonts w:ascii="Times New Roman" w:eastAsia="Times New Roman" w:hAnsi="Times New Roman" w:cs="Times New Roman"/>
                <w:color w:val="000000"/>
              </w:rPr>
              <w:t>ANNEXE 4 : Retranscription de l’entretien avec Alison*, bénéficiaire de la MDF</w:t>
            </w:r>
            <w:r>
              <w:rPr>
                <w:rFonts w:ascii="Times New Roman" w:eastAsia="Times New Roman" w:hAnsi="Times New Roman" w:cs="Times New Roman"/>
                <w:color w:val="000000"/>
              </w:rPr>
              <w:tab/>
              <w:t>50</w:t>
            </w:r>
          </w:hyperlink>
        </w:p>
        <w:p w14:paraId="000009DA" w14:textId="77777777" w:rsidR="004E766C" w:rsidRDefault="00000000">
          <w:pPr>
            <w:widowControl w:val="0"/>
            <w:tabs>
              <w:tab w:val="right" w:pos="12000"/>
            </w:tabs>
            <w:spacing w:before="60" w:line="240" w:lineRule="auto"/>
            <w:ind w:left="360"/>
            <w:rPr>
              <w:color w:val="000000"/>
            </w:rPr>
          </w:pPr>
          <w:hyperlink w:anchor="_heading=h.uylsckkqkafp">
            <w:r>
              <w:rPr>
                <w:rFonts w:ascii="Times New Roman" w:eastAsia="Times New Roman" w:hAnsi="Times New Roman" w:cs="Times New Roman"/>
                <w:color w:val="000000"/>
              </w:rPr>
              <w:t>ANNEXE 5 : Retranscription de l’entretien avec Jessica* , bénéficiaire de la MDF</w:t>
            </w:r>
            <w:r>
              <w:rPr>
                <w:rFonts w:ascii="Times New Roman" w:eastAsia="Times New Roman" w:hAnsi="Times New Roman" w:cs="Times New Roman"/>
                <w:color w:val="000000"/>
              </w:rPr>
              <w:tab/>
              <w:t>75</w:t>
            </w:r>
          </w:hyperlink>
        </w:p>
        <w:p w14:paraId="000009DB" w14:textId="77777777" w:rsidR="004E766C" w:rsidRDefault="00000000">
          <w:pPr>
            <w:widowControl w:val="0"/>
            <w:tabs>
              <w:tab w:val="right" w:pos="12000"/>
            </w:tabs>
            <w:spacing w:before="60" w:line="240" w:lineRule="auto"/>
            <w:ind w:left="360"/>
            <w:rPr>
              <w:color w:val="000000"/>
            </w:rPr>
          </w:pPr>
          <w:hyperlink w:anchor="_heading=h.ft3zba3fjt7d">
            <w:r>
              <w:rPr>
                <w:rFonts w:ascii="Times New Roman" w:eastAsia="Times New Roman" w:hAnsi="Times New Roman" w:cs="Times New Roman"/>
                <w:color w:val="000000"/>
              </w:rPr>
              <w:t>ANNEXE 6 : Retranscription de l’entretien avec Cloé TASSARA , juriste de la MDF</w:t>
            </w:r>
            <w:r>
              <w:rPr>
                <w:rFonts w:ascii="Times New Roman" w:eastAsia="Times New Roman" w:hAnsi="Times New Roman" w:cs="Times New Roman"/>
                <w:color w:val="000000"/>
              </w:rPr>
              <w:tab/>
              <w:t>91</w:t>
            </w:r>
          </w:hyperlink>
        </w:p>
        <w:p w14:paraId="000009DC" w14:textId="77777777" w:rsidR="004E766C" w:rsidRDefault="00000000">
          <w:pPr>
            <w:widowControl w:val="0"/>
            <w:tabs>
              <w:tab w:val="right" w:pos="12000"/>
            </w:tabs>
            <w:spacing w:before="60" w:line="240" w:lineRule="auto"/>
            <w:ind w:left="360"/>
            <w:rPr>
              <w:color w:val="000000"/>
            </w:rPr>
          </w:pPr>
          <w:hyperlink w:anchor="_heading=h.4c1ul54zpfpe">
            <w:r>
              <w:rPr>
                <w:rFonts w:ascii="Times New Roman" w:eastAsia="Times New Roman" w:hAnsi="Times New Roman" w:cs="Times New Roman"/>
                <w:color w:val="000000"/>
              </w:rPr>
              <w:t>ANNEXE 7 : Retranscription de l’entretien avec Neige DAMIZET , juriste de la MDF</w:t>
            </w:r>
            <w:r>
              <w:rPr>
                <w:rFonts w:ascii="Times New Roman" w:eastAsia="Times New Roman" w:hAnsi="Times New Roman" w:cs="Times New Roman"/>
                <w:color w:val="000000"/>
              </w:rPr>
              <w:tab/>
              <w:t>104</w:t>
            </w:r>
          </w:hyperlink>
        </w:p>
        <w:p w14:paraId="000009DD" w14:textId="77777777" w:rsidR="004E766C" w:rsidRDefault="00000000">
          <w:pPr>
            <w:widowControl w:val="0"/>
            <w:tabs>
              <w:tab w:val="right" w:pos="12000"/>
            </w:tabs>
            <w:spacing w:before="60" w:line="240" w:lineRule="auto"/>
            <w:ind w:left="360"/>
            <w:rPr>
              <w:color w:val="000000"/>
            </w:rPr>
          </w:pPr>
          <w:hyperlink w:anchor="_heading=h.y28omkihmame">
            <w:r>
              <w:rPr>
                <w:rFonts w:ascii="Times New Roman" w:eastAsia="Times New Roman" w:hAnsi="Times New Roman" w:cs="Times New Roman"/>
                <w:color w:val="000000"/>
              </w:rPr>
              <w:t>ANNEXE 8 : Retranscription de l’entretien avec Carlotta BELLIN, éducatrice spécialisée au sein de la MDF</w:t>
            </w:r>
            <w:r>
              <w:rPr>
                <w:rFonts w:ascii="Times New Roman" w:eastAsia="Times New Roman" w:hAnsi="Times New Roman" w:cs="Times New Roman"/>
                <w:color w:val="000000"/>
              </w:rPr>
              <w:tab/>
              <w:t>118</w:t>
            </w:r>
          </w:hyperlink>
        </w:p>
        <w:p w14:paraId="000009DE" w14:textId="77777777" w:rsidR="004E766C" w:rsidRDefault="00000000">
          <w:pPr>
            <w:widowControl w:val="0"/>
            <w:tabs>
              <w:tab w:val="right" w:pos="12000"/>
            </w:tabs>
            <w:spacing w:before="60" w:line="240" w:lineRule="auto"/>
            <w:ind w:left="360"/>
            <w:rPr>
              <w:color w:val="000000"/>
            </w:rPr>
          </w:pPr>
          <w:hyperlink w:anchor="_heading=h.vkk68fmok3gj">
            <w:r>
              <w:rPr>
                <w:rFonts w:ascii="Times New Roman" w:eastAsia="Times New Roman" w:hAnsi="Times New Roman" w:cs="Times New Roman"/>
                <w:color w:val="000000"/>
              </w:rPr>
              <w:t>ANNEXE 9 : Retranscription de l’entretien avec Cléa JURY, assistante sociale au sein de la MDF</w:t>
            </w:r>
            <w:r>
              <w:rPr>
                <w:rFonts w:ascii="Times New Roman" w:eastAsia="Times New Roman" w:hAnsi="Times New Roman" w:cs="Times New Roman"/>
                <w:color w:val="000000"/>
              </w:rPr>
              <w:tab/>
              <w:t>129</w:t>
            </w:r>
          </w:hyperlink>
        </w:p>
        <w:p w14:paraId="000009DF" w14:textId="77777777" w:rsidR="004E766C" w:rsidRDefault="00000000">
          <w:pPr>
            <w:widowControl w:val="0"/>
            <w:tabs>
              <w:tab w:val="right" w:pos="12000"/>
            </w:tabs>
            <w:spacing w:before="60" w:line="240" w:lineRule="auto"/>
            <w:ind w:left="360"/>
            <w:rPr>
              <w:color w:val="000000"/>
            </w:rPr>
          </w:pPr>
          <w:hyperlink w:anchor="_heading=h.k04gphs236fe">
            <w:r>
              <w:rPr>
                <w:rFonts w:ascii="Times New Roman" w:eastAsia="Times New Roman" w:hAnsi="Times New Roman" w:cs="Times New Roman"/>
                <w:color w:val="000000"/>
              </w:rPr>
              <w:t>ANNEXE 10 : Compte rendu de l’entretien avec Elisabeth LIOTARD, Directrice Générale de  l'Association VIFFIL SOS Femmes :</w:t>
            </w:r>
            <w:r>
              <w:rPr>
                <w:rFonts w:ascii="Times New Roman" w:eastAsia="Times New Roman" w:hAnsi="Times New Roman" w:cs="Times New Roman"/>
                <w:color w:val="000000"/>
              </w:rPr>
              <w:tab/>
              <w:t>147</w:t>
            </w:r>
          </w:hyperlink>
        </w:p>
        <w:p w14:paraId="000009E0" w14:textId="77777777" w:rsidR="004E766C" w:rsidRDefault="00000000">
          <w:pPr>
            <w:widowControl w:val="0"/>
            <w:tabs>
              <w:tab w:val="right" w:pos="12000"/>
            </w:tabs>
            <w:spacing w:before="60" w:line="240" w:lineRule="auto"/>
            <w:ind w:left="360"/>
            <w:rPr>
              <w:color w:val="000000"/>
            </w:rPr>
          </w:pPr>
          <w:hyperlink w:anchor="_heading=h.sb4kqilibsn6">
            <w:r>
              <w:rPr>
                <w:rFonts w:ascii="Times New Roman" w:eastAsia="Times New Roman" w:hAnsi="Times New Roman" w:cs="Times New Roman"/>
                <w:color w:val="000000"/>
              </w:rPr>
              <w:t>ANNEXE 11 : Compte rendu de la rencontre avec Isabelle PAQUET, fondatrice de la Compagnie Chiloé</w:t>
            </w:r>
            <w:r>
              <w:rPr>
                <w:rFonts w:ascii="Times New Roman" w:eastAsia="Times New Roman" w:hAnsi="Times New Roman" w:cs="Times New Roman"/>
                <w:color w:val="000000"/>
              </w:rPr>
              <w:tab/>
              <w:t>148</w:t>
            </w:r>
          </w:hyperlink>
        </w:p>
        <w:p w14:paraId="000009E1" w14:textId="77777777" w:rsidR="004E766C" w:rsidRDefault="00000000">
          <w:pPr>
            <w:widowControl w:val="0"/>
            <w:tabs>
              <w:tab w:val="right" w:pos="12000"/>
            </w:tabs>
            <w:spacing w:before="60" w:line="240" w:lineRule="auto"/>
            <w:ind w:left="360"/>
            <w:rPr>
              <w:color w:val="000000"/>
            </w:rPr>
          </w:pPr>
          <w:hyperlink w:anchor="_heading=h.ytf7435dnw0i">
            <w:r>
              <w:rPr>
                <w:rFonts w:ascii="Times New Roman" w:eastAsia="Times New Roman" w:hAnsi="Times New Roman" w:cs="Times New Roman"/>
                <w:color w:val="000000"/>
              </w:rPr>
              <w:t>ANNEXE 12 : Compte rendu de la rencontre avec Gwenaëlle FERRÉ, Directrice du centre communautaire et planétaire Le Jardin</w:t>
            </w:r>
            <w:r>
              <w:rPr>
                <w:rFonts w:ascii="Times New Roman" w:eastAsia="Times New Roman" w:hAnsi="Times New Roman" w:cs="Times New Roman"/>
                <w:color w:val="000000"/>
              </w:rPr>
              <w:tab/>
              <w:t>149</w:t>
            </w:r>
          </w:hyperlink>
        </w:p>
        <w:p w14:paraId="000009E2" w14:textId="77777777" w:rsidR="004E766C" w:rsidRDefault="00000000">
          <w:pPr>
            <w:widowControl w:val="0"/>
            <w:tabs>
              <w:tab w:val="right" w:pos="12000"/>
            </w:tabs>
            <w:spacing w:before="60" w:line="240" w:lineRule="auto"/>
            <w:ind w:left="360"/>
            <w:rPr>
              <w:color w:val="000000"/>
            </w:rPr>
          </w:pPr>
          <w:hyperlink w:anchor="_heading=h.94ou3fyrffs">
            <w:r>
              <w:rPr>
                <w:rFonts w:ascii="Times New Roman" w:eastAsia="Times New Roman" w:hAnsi="Times New Roman" w:cs="Times New Roman"/>
                <w:color w:val="000000"/>
              </w:rPr>
              <w:t>ANNEXE 13 : Compte rendu de la rencontre avec Stéphanie GAUDILLAT</w:t>
            </w:r>
            <w:r>
              <w:rPr>
                <w:rFonts w:ascii="Times New Roman" w:eastAsia="Times New Roman" w:hAnsi="Times New Roman" w:cs="Times New Roman"/>
                <w:color w:val="000000"/>
              </w:rPr>
              <w:tab/>
              <w:t>152</w:t>
            </w:r>
          </w:hyperlink>
        </w:p>
        <w:p w14:paraId="000009E3" w14:textId="77777777" w:rsidR="004E766C" w:rsidRDefault="00000000">
          <w:pPr>
            <w:widowControl w:val="0"/>
            <w:tabs>
              <w:tab w:val="right" w:pos="12000"/>
            </w:tabs>
            <w:spacing w:before="60" w:line="240" w:lineRule="auto"/>
            <w:ind w:left="360"/>
            <w:rPr>
              <w:color w:val="000000"/>
            </w:rPr>
          </w:pPr>
          <w:hyperlink w:anchor="_heading=h.at8pabwywv9p">
            <w:r>
              <w:rPr>
                <w:rFonts w:ascii="Times New Roman" w:eastAsia="Times New Roman" w:hAnsi="Times New Roman" w:cs="Times New Roman"/>
                <w:color w:val="000000"/>
              </w:rPr>
              <w:t>ANNEXE 14 : Compte rendu de nos observations au sein de la MDF</w:t>
            </w:r>
            <w:r>
              <w:rPr>
                <w:rFonts w:ascii="Times New Roman" w:eastAsia="Times New Roman" w:hAnsi="Times New Roman" w:cs="Times New Roman"/>
                <w:color w:val="000000"/>
              </w:rPr>
              <w:tab/>
              <w:t>155</w:t>
            </w:r>
          </w:hyperlink>
        </w:p>
        <w:p w14:paraId="000009E4" w14:textId="77777777" w:rsidR="004E766C" w:rsidRDefault="00000000">
          <w:pPr>
            <w:widowControl w:val="0"/>
            <w:tabs>
              <w:tab w:val="right" w:pos="12000"/>
            </w:tabs>
            <w:spacing w:before="60" w:line="240" w:lineRule="auto"/>
            <w:ind w:left="360"/>
            <w:rPr>
              <w:color w:val="000000"/>
            </w:rPr>
          </w:pPr>
          <w:hyperlink w:anchor="_heading=h.e7h8qhqcbzhq">
            <w:r>
              <w:rPr>
                <w:rFonts w:ascii="Times New Roman" w:eastAsia="Times New Roman" w:hAnsi="Times New Roman" w:cs="Times New Roman"/>
                <w:color w:val="000000"/>
              </w:rPr>
              <w:t>ANNEXE 15 : Compte rendu - Rencontre sur le thème de l'hospitalier,  Les Subsistances - Présentation de la MDF</w:t>
            </w:r>
            <w:r>
              <w:rPr>
                <w:rFonts w:ascii="Times New Roman" w:eastAsia="Times New Roman" w:hAnsi="Times New Roman" w:cs="Times New Roman"/>
                <w:color w:val="000000"/>
              </w:rPr>
              <w:tab/>
              <w:t>163</w:t>
            </w:r>
          </w:hyperlink>
        </w:p>
        <w:p w14:paraId="000009E5" w14:textId="77777777" w:rsidR="004E766C" w:rsidRDefault="00000000">
          <w:pPr>
            <w:widowControl w:val="0"/>
            <w:tabs>
              <w:tab w:val="right" w:pos="12000"/>
            </w:tabs>
            <w:spacing w:before="60" w:line="240" w:lineRule="auto"/>
            <w:ind w:left="360"/>
          </w:pPr>
          <w:hyperlink w:anchor="_heading=h.gtah1vs5z6h5">
            <w:r>
              <w:rPr>
                <w:rFonts w:ascii="Times New Roman" w:eastAsia="Times New Roman" w:hAnsi="Times New Roman" w:cs="Times New Roman"/>
                <w:color w:val="000000"/>
              </w:rPr>
              <w:t>ANNEXE 16 : Synthèse table-ronde Festival Brisons le Silence</w:t>
            </w:r>
            <w:r>
              <w:rPr>
                <w:rFonts w:ascii="Times New Roman" w:eastAsia="Times New Roman" w:hAnsi="Times New Roman" w:cs="Times New Roman"/>
                <w:color w:val="000000"/>
              </w:rPr>
              <w:tab/>
              <w:t>165</w:t>
            </w:r>
          </w:hyperlink>
        </w:p>
        <w:p w14:paraId="000009E6" w14:textId="77777777" w:rsidR="004E766C" w:rsidRDefault="00000000">
          <w:pPr>
            <w:widowControl w:val="0"/>
            <w:tabs>
              <w:tab w:val="right" w:pos="12000"/>
            </w:tabs>
            <w:spacing w:before="60" w:line="240" w:lineRule="auto"/>
            <w:rPr>
              <w:b/>
              <w:bCs/>
              <w:color w:val="000000"/>
            </w:rPr>
          </w:pPr>
          <w:hyperlink w:anchor="_heading=h.m4gch793k70v">
            <w:r>
              <w:rPr>
                <w:rFonts w:ascii="Times New Roman" w:eastAsia="Times New Roman" w:hAnsi="Times New Roman" w:cs="Times New Roman"/>
                <w:b/>
                <w:bCs/>
                <w:color w:val="000000"/>
              </w:rPr>
              <w:t>BIBLIOGRAPHIE :</w:t>
            </w:r>
            <w:r>
              <w:rPr>
                <w:rFonts w:ascii="Times New Roman" w:eastAsia="Times New Roman" w:hAnsi="Times New Roman" w:cs="Times New Roman"/>
                <w:b/>
                <w:bCs/>
                <w:color w:val="000000"/>
              </w:rPr>
              <w:tab/>
              <w:t>166</w:t>
            </w:r>
          </w:hyperlink>
        </w:p>
        <w:p w14:paraId="000009E7" w14:textId="77777777" w:rsidR="004E766C" w:rsidRDefault="00000000">
          <w:pPr>
            <w:widowControl w:val="0"/>
            <w:tabs>
              <w:tab w:val="right" w:pos="12000"/>
            </w:tabs>
            <w:spacing w:before="60" w:line="240" w:lineRule="auto"/>
            <w:rPr>
              <w:b/>
              <w:bCs/>
              <w:color w:val="000000"/>
            </w:rPr>
          </w:pPr>
          <w:hyperlink w:anchor="_heading=h.8ab8azu0hnsx">
            <w:r>
              <w:rPr>
                <w:rFonts w:ascii="Times New Roman" w:eastAsia="Times New Roman" w:hAnsi="Times New Roman" w:cs="Times New Roman"/>
                <w:b/>
                <w:bCs/>
                <w:color w:val="000000"/>
              </w:rPr>
              <w:t>TABLE DES MATIÈRES :</w:t>
            </w:r>
            <w:r>
              <w:rPr>
                <w:rFonts w:ascii="Times New Roman" w:eastAsia="Times New Roman" w:hAnsi="Times New Roman" w:cs="Times New Roman"/>
                <w:b/>
                <w:bCs/>
                <w:color w:val="000000"/>
              </w:rPr>
              <w:tab/>
              <w:t>168</w:t>
            </w:r>
          </w:hyperlink>
        </w:p>
        <w:p w14:paraId="000009E8" w14:textId="77777777" w:rsidR="004E766C" w:rsidRDefault="00000000">
          <w:pPr>
            <w:widowControl w:val="0"/>
            <w:tabs>
              <w:tab w:val="right" w:pos="12000"/>
            </w:tabs>
            <w:spacing w:before="60" w:line="240" w:lineRule="auto"/>
            <w:rPr>
              <w:b/>
              <w:bCs/>
              <w:color w:val="000000"/>
            </w:rPr>
          </w:pPr>
          <w:hyperlink w:anchor="_heading=h.3nxd862i6yam">
            <w:r>
              <w:rPr>
                <w:rFonts w:ascii="Times New Roman" w:eastAsia="Times New Roman" w:hAnsi="Times New Roman" w:cs="Times New Roman"/>
                <w:b/>
                <w:bCs/>
                <w:color w:val="000000"/>
              </w:rPr>
              <w:t>RESUME ET MOTS-CLÉS</w:t>
            </w:r>
            <w:r>
              <w:rPr>
                <w:rFonts w:ascii="Times New Roman" w:eastAsia="Times New Roman" w:hAnsi="Times New Roman" w:cs="Times New Roman"/>
                <w:b/>
                <w:bCs/>
                <w:color w:val="000000"/>
              </w:rPr>
              <w:tab/>
              <w:t>170</w:t>
            </w:r>
          </w:hyperlink>
          <w:r>
            <w:fldChar w:fldCharType="end"/>
          </w:r>
        </w:p>
      </w:sdtContent>
    </w:sdt>
    <w:p w14:paraId="000009E9" w14:textId="77777777" w:rsidR="004E766C" w:rsidRDefault="004E766C">
      <w:pPr>
        <w:rPr>
          <w:rFonts w:ascii="Times New Roman" w:eastAsia="Times New Roman" w:hAnsi="Times New Roman" w:cs="Times New Roman"/>
        </w:rPr>
      </w:pPr>
    </w:p>
    <w:p w14:paraId="000009EA" w14:textId="77777777" w:rsidR="004E766C" w:rsidRDefault="004E766C">
      <w:pPr>
        <w:rPr>
          <w:rFonts w:ascii="Times New Roman" w:eastAsia="Times New Roman" w:hAnsi="Times New Roman" w:cs="Times New Roman"/>
        </w:rPr>
      </w:pPr>
    </w:p>
    <w:p w14:paraId="000009EB" w14:textId="77777777" w:rsidR="004E766C" w:rsidRDefault="004E766C">
      <w:pPr>
        <w:rPr>
          <w:rFonts w:ascii="Times New Roman" w:eastAsia="Times New Roman" w:hAnsi="Times New Roman" w:cs="Times New Roman"/>
        </w:rPr>
      </w:pPr>
    </w:p>
    <w:p w14:paraId="000009EC" w14:textId="77777777" w:rsidR="004E766C" w:rsidRDefault="00000000">
      <w:pPr>
        <w:rPr>
          <w:rFonts w:ascii="Times New Roman" w:eastAsia="Times New Roman" w:hAnsi="Times New Roman" w:cs="Times New Roman"/>
          <w:b/>
          <w:bCs/>
          <w:sz w:val="28"/>
          <w:szCs w:val="28"/>
          <w:u w:val="single"/>
        </w:rPr>
      </w:pPr>
      <w:r>
        <w:br w:type="page"/>
      </w:r>
    </w:p>
    <w:p w14:paraId="000009ED" w14:textId="77777777" w:rsidR="004E766C" w:rsidRDefault="00000000">
      <w:pPr>
        <w:pStyle w:val="Titre1"/>
      </w:pPr>
      <w:bookmarkStart w:id="82" w:name="_heading=h.3nxd862i6yam" w:colFirst="0" w:colLast="0"/>
      <w:bookmarkEnd w:id="82"/>
      <w:r>
        <w:lastRenderedPageBreak/>
        <w:t>RESUMÉ ET MOTS-CLÉS</w:t>
      </w:r>
    </w:p>
    <w:p w14:paraId="000009EE" w14:textId="77777777" w:rsidR="004E766C" w:rsidRDefault="00000000">
      <w:pPr>
        <w:spacing w:before="240" w:after="2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Notre rapport interroge les conditions de construction d’une culture partagée de l’hospitalité au sein de la Maison des Femmes de Lyon, afin d’en faire un lieu refuge inclusif et d’inspiration féministe. La problématique porte sur la manière d’articuler diversité des professionnelles, besoins hétérogènes des bénéficiaires et exigences d’un accueil de qualité. La méthode repose sur une enquête qualitative combinant observations de terrain, entretiens avec professionnelles et bénéficiaires, ainsi qu’une analyse comparative de structures similaires. Les résultats mettent en évidence une hospitalité en construction, fondée sur des pratiques relationnelles, un cadre matériel apaisant et une volonté d’horizontalité. Toutefois, des tensions persistent, liées à la diversité des cultures professionnelles, aux contraintes institutionnelles et à certains angles morts dans l’accueil. Le rapport souligne ainsi la nécessité de formaliser une culture commune et propose des recommandations pour renforcer la cohérence, l’inclusivité et la dimension collective de l’accompagnement.</w:t>
      </w:r>
    </w:p>
    <w:p w14:paraId="000009EF" w14:textId="77777777" w:rsidR="004E766C" w:rsidRDefault="00000000">
      <w:pPr>
        <w:spacing w:before="240" w:after="240"/>
        <w:jc w:val="both"/>
        <w:rPr>
          <w:rFonts w:ascii="Times New Roman" w:eastAsia="Times New Roman" w:hAnsi="Times New Roman" w:cs="Times New Roman"/>
          <w:b/>
          <w:bCs/>
          <w:sz w:val="28"/>
          <w:szCs w:val="28"/>
        </w:rPr>
      </w:pPr>
      <w:r>
        <w:rPr>
          <w:rFonts w:ascii="Times New Roman" w:eastAsia="Times New Roman" w:hAnsi="Times New Roman" w:cs="Times New Roman"/>
          <w:b/>
          <w:bCs/>
          <w:sz w:val="24"/>
          <w:szCs w:val="24"/>
        </w:rPr>
        <w:t>Mots-clés : hospitalité, féminisme, pluridisciplinarité, accompagnement, culture commune</w:t>
      </w:r>
    </w:p>
    <w:sectPr w:rsidR="004E766C">
      <w:type w:val="continuous"/>
      <w:pgSz w:w="11909" w:h="16834"/>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62E1C7" w14:textId="77777777" w:rsidR="00BC4986" w:rsidRDefault="00BC4986">
      <w:pPr>
        <w:spacing w:line="240" w:lineRule="auto"/>
      </w:pPr>
      <w:r>
        <w:separator/>
      </w:r>
    </w:p>
  </w:endnote>
  <w:endnote w:type="continuationSeparator" w:id="0">
    <w:p w14:paraId="5E5B94B6" w14:textId="77777777" w:rsidR="00BC4986" w:rsidRDefault="00BC49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CBB025C-242C-EC49-B8B2-A68FE3BDADFA}"/>
    <w:embedBold r:id="rId2" w:fontKey="{3317B652-3B3E-C442-B8BE-D31C5E7FAB5D}"/>
    <w:embedItalic r:id="rId3" w:fontKey="{69ED597B-4195-A64A-8FBC-F1330FC5AA84}"/>
    <w:embedBoldItalic r:id="rId4" w:fontKey="{37BAA4C1-20E5-134A-9C57-183F49C1C8D7}"/>
  </w:font>
  <w:font w:name="Arial">
    <w:panose1 w:val="020B0604020202020204"/>
    <w:charset w:val="00"/>
    <w:family w:val="swiss"/>
    <w:pitch w:val="variable"/>
    <w:sig w:usb0="E0002AFF" w:usb1="C0007843" w:usb2="00000009" w:usb3="00000000" w:csb0="000001FF" w:csb1="00000000"/>
    <w:embedRegular r:id="rId5" w:fontKey="{928B2EB3-2AFE-344A-A994-7FEBC901AA22}"/>
    <w:embedBold r:id="rId6" w:fontKey="{CD9468DD-3BB0-784F-B589-ACD2EB5DFB87}"/>
    <w:embedItalic r:id="rId7" w:fontKey="{3FD11BC6-E1E6-1E47-A019-BABE0EA53951}"/>
  </w:font>
  <w:font w:name="Times">
    <w:altName w:val="Times New Roman"/>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embedRegular r:id="rId9" w:fontKey="{DEB84EBE-F70A-DD48-9AD0-F41DBB8C622A}"/>
  </w:font>
  <w:font w:name="Cambria">
    <w:panose1 w:val="02040503050406030204"/>
    <w:charset w:val="00"/>
    <w:family w:val="roman"/>
    <w:pitch w:val="variable"/>
    <w:sig w:usb0="E00002FF" w:usb1="400004FF" w:usb2="00000000" w:usb3="00000000" w:csb0="0000019F" w:csb1="00000000"/>
    <w:embedRegular r:id="rId10" w:fontKey="{12E426EC-FF95-8C41-97C8-4A3568872A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38126" w14:textId="77777777" w:rsidR="00A4465B" w:rsidRDefault="00A4465B">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A" w14:textId="77777777" w:rsidR="004E766C" w:rsidRDefault="00000000">
    <w:pPr>
      <w:jc w:val="right"/>
    </w:pPr>
    <w:r>
      <w:fldChar w:fldCharType="begin"/>
    </w:r>
    <w:r>
      <w:instrText>PAGE</w:instrText>
    </w:r>
    <w:r>
      <w:fldChar w:fldCharType="separate"/>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B" w14:textId="77777777" w:rsidR="004E766C" w:rsidRDefault="004E766C">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C" w14:textId="77777777" w:rsidR="004E766C" w:rsidRDefault="00000000">
    <w:pPr>
      <w:jc w:val="right"/>
    </w:pPr>
    <w:r>
      <w:fldChar w:fldCharType="begin"/>
    </w:r>
    <w:r>
      <w:instrText>PAGE</w:instrText>
    </w:r>
    <w:r>
      <w:fldChar w:fldCharType="separate"/>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D" w14:textId="25927B55" w:rsidR="004E766C" w:rsidRDefault="00000000">
    <w:pPr>
      <w:jc w:val="right"/>
      <w:rPr>
        <w:rFonts w:ascii="Times New Roman" w:eastAsia="Times New Roman" w:hAnsi="Times New Roman" w:cs="Times New Roman"/>
      </w:rPr>
    </w:pPr>
    <w:r>
      <w:rPr>
        <w:rFonts w:ascii="Times New Roman" w:eastAsia="Times New Roman" w:hAnsi="Times New Roman" w:cs="Times New Roman"/>
      </w:rPr>
      <w:fldChar w:fldCharType="begin"/>
    </w:r>
    <w:r>
      <w:rPr>
        <w:rFonts w:ascii="Times New Roman" w:eastAsia="Times New Roman" w:hAnsi="Times New Roman" w:cs="Times New Roman"/>
      </w:rPr>
      <w:instrText>PAGE</w:instrText>
    </w:r>
    <w:r>
      <w:rPr>
        <w:rFonts w:ascii="Times New Roman" w:eastAsia="Times New Roman" w:hAnsi="Times New Roman" w:cs="Times New Roman"/>
      </w:rPr>
      <w:fldChar w:fldCharType="separate"/>
    </w:r>
    <w:r w:rsidR="00A4465B">
      <w:rPr>
        <w:rFonts w:ascii="Times New Roman" w:eastAsia="Times New Roman" w:hAnsi="Times New Roman" w:cs="Times New Roman"/>
        <w:noProof/>
      </w:rPr>
      <w:t>1</w:t>
    </w:r>
    <w:r>
      <w:rPr>
        <w:rFonts w:ascii="Times New Roman" w:eastAsia="Times New Roman" w:hAnsi="Times New Roman" w:cs="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F35739" w14:textId="77777777" w:rsidR="00BC4986" w:rsidRDefault="00BC4986">
      <w:pPr>
        <w:spacing w:line="240" w:lineRule="auto"/>
      </w:pPr>
      <w:r>
        <w:separator/>
      </w:r>
    </w:p>
  </w:footnote>
  <w:footnote w:type="continuationSeparator" w:id="0">
    <w:p w14:paraId="0A2B6B74" w14:textId="77777777" w:rsidR="00BC4986" w:rsidRDefault="00BC4986">
      <w:pPr>
        <w:spacing w:line="240" w:lineRule="auto"/>
      </w:pPr>
      <w:r>
        <w:continuationSeparator/>
      </w:r>
    </w:p>
  </w:footnote>
  <w:footnote w:id="1">
    <w:p w14:paraId="00000A02"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Voir Annexe n°10 “Compte rendu de l’entretien avec Elisabeth Liotard” </w:t>
      </w:r>
    </w:p>
  </w:footnote>
  <w:footnote w:id="2">
    <w:p w14:paraId="000009F5"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Kelly, Liz. « Le continuum de la violence sexuelle ». Sociologie. </w:t>
      </w:r>
      <w:r>
        <w:rPr>
          <w:rFonts w:ascii="Times New Roman" w:eastAsia="Times New Roman" w:hAnsi="Times New Roman" w:cs="Times New Roman"/>
          <w:i/>
          <w:iCs/>
          <w:sz w:val="20"/>
          <w:szCs w:val="20"/>
        </w:rPr>
        <w:t>Cahiers du Genre</w:t>
      </w:r>
      <w:r>
        <w:rPr>
          <w:rFonts w:ascii="Times New Roman" w:eastAsia="Times New Roman" w:hAnsi="Times New Roman" w:cs="Times New Roman"/>
          <w:sz w:val="20"/>
          <w:szCs w:val="20"/>
        </w:rPr>
        <w:t xml:space="preserve"> 66, n</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1 (2019</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p. 17‑36. </w:t>
      </w:r>
    </w:p>
  </w:footnote>
  <w:footnote w:id="3">
    <w:p w14:paraId="00000A04" w14:textId="77777777" w:rsidR="004E766C" w:rsidRDefault="00000000">
      <w:pPr>
        <w:spacing w:line="240" w:lineRule="auto"/>
        <w:rPr>
          <w:rFonts w:ascii="Times New Roman" w:eastAsia="Times New Roman" w:hAnsi="Times New Roman" w:cs="Times New Roman"/>
          <w:i/>
          <w:iCs/>
          <w:sz w:val="20"/>
          <w:szCs w:val="20"/>
        </w:rPr>
      </w:pPr>
      <w:r>
        <w:rPr>
          <w:vertAlign w:val="superscript"/>
        </w:rPr>
        <w:footnoteRef/>
      </w:r>
      <w:r>
        <w:rPr>
          <w:i/>
          <w:iCs/>
          <w:sz w:val="20"/>
          <w:szCs w:val="20"/>
        </w:rPr>
        <w:t xml:space="preserve"> </w:t>
      </w:r>
      <w:proofErr w:type="spellStart"/>
      <w:r>
        <w:rPr>
          <w:rFonts w:ascii="Times New Roman" w:eastAsia="Times New Roman" w:hAnsi="Times New Roman" w:cs="Times New Roman"/>
          <w:i/>
          <w:iCs/>
          <w:sz w:val="20"/>
          <w:szCs w:val="20"/>
        </w:rPr>
        <w:t>Ibid</w:t>
      </w:r>
      <w:proofErr w:type="spellEnd"/>
    </w:p>
  </w:footnote>
  <w:footnote w:id="4">
    <w:p w14:paraId="000009F6" w14:textId="77777777" w:rsidR="004E766C" w:rsidRDefault="00000000">
      <w:pPr>
        <w:spacing w:line="240" w:lineRule="auto"/>
        <w:rPr>
          <w:sz w:val="20"/>
          <w:szCs w:val="20"/>
          <w:vertAlign w:val="superscript"/>
        </w:rPr>
      </w:pPr>
      <w:r>
        <w:rPr>
          <w:vertAlign w:val="superscript"/>
        </w:rPr>
        <w:footnoteRef/>
      </w:r>
      <w:r>
        <w:rPr>
          <w:sz w:val="20"/>
          <w:szCs w:val="20"/>
          <w:vertAlign w:val="superscript"/>
        </w:rPr>
        <w:t xml:space="preserve"> </w:t>
      </w:r>
      <w:r>
        <w:rPr>
          <w:sz w:val="20"/>
          <w:szCs w:val="20"/>
        </w:rPr>
        <w:t xml:space="preserve"> </w:t>
      </w:r>
      <w:proofErr w:type="spellStart"/>
      <w:r>
        <w:rPr>
          <w:rFonts w:ascii="Times New Roman" w:eastAsia="Times New Roman" w:hAnsi="Times New Roman" w:cs="Times New Roman"/>
          <w:i/>
          <w:iCs/>
          <w:sz w:val="20"/>
          <w:szCs w:val="20"/>
        </w:rPr>
        <w:t>Ibid</w:t>
      </w:r>
      <w:proofErr w:type="spellEnd"/>
    </w:p>
  </w:footnote>
  <w:footnote w:id="5">
    <w:p w14:paraId="000009FF"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Jaspard</w:t>
      </w:r>
      <w:proofErr w:type="spellEnd"/>
      <w:r>
        <w:rPr>
          <w:rFonts w:ascii="Times New Roman" w:eastAsia="Times New Roman" w:hAnsi="Times New Roman" w:cs="Times New Roman"/>
          <w:sz w:val="20"/>
          <w:szCs w:val="20"/>
        </w:rPr>
        <w:t xml:space="preserve">, Maryse. </w:t>
      </w:r>
      <w:r>
        <w:rPr>
          <w:rFonts w:ascii="Times New Roman" w:eastAsia="Times New Roman" w:hAnsi="Times New Roman" w:cs="Times New Roman"/>
          <w:i/>
          <w:iCs/>
          <w:sz w:val="20"/>
          <w:szCs w:val="20"/>
        </w:rPr>
        <w:t>Les violences contre les femmes</w:t>
      </w:r>
      <w:r>
        <w:rPr>
          <w:rFonts w:ascii="Times New Roman" w:eastAsia="Times New Roman" w:hAnsi="Times New Roman" w:cs="Times New Roman"/>
          <w:sz w:val="20"/>
          <w:szCs w:val="20"/>
        </w:rPr>
        <w:t xml:space="preserve">. La Découverte, 2011, p. 30-62. </w:t>
      </w:r>
    </w:p>
  </w:footnote>
  <w:footnote w:id="6">
    <w:p w14:paraId="000009F7" w14:textId="77777777" w:rsidR="004E766C" w:rsidRDefault="00000000">
      <w:pPr>
        <w:spacing w:line="240" w:lineRule="auto"/>
        <w:rPr>
          <w:sz w:val="20"/>
          <w:szCs w:val="20"/>
          <w:vertAlign w:val="superscript"/>
        </w:rPr>
      </w:pPr>
      <w:r>
        <w:rPr>
          <w:vertAlign w:val="superscript"/>
        </w:rPr>
        <w:footnoteRef/>
      </w:r>
      <w:r>
        <w:rPr>
          <w:sz w:val="20"/>
          <w:szCs w:val="20"/>
          <w:vertAlign w:val="superscript"/>
        </w:rPr>
        <w:t xml:space="preserve">  </w:t>
      </w:r>
      <w:proofErr w:type="spellStart"/>
      <w:r>
        <w:rPr>
          <w:rFonts w:ascii="Times New Roman" w:eastAsia="Times New Roman" w:hAnsi="Times New Roman" w:cs="Times New Roman"/>
          <w:i/>
          <w:iCs/>
          <w:sz w:val="20"/>
          <w:szCs w:val="20"/>
        </w:rPr>
        <w:t>Ibid</w:t>
      </w:r>
      <w:proofErr w:type="spellEnd"/>
    </w:p>
  </w:footnote>
  <w:footnote w:id="7">
    <w:p w14:paraId="00000A00"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Thierry </w:t>
      </w:r>
      <w:proofErr w:type="spellStart"/>
      <w:r>
        <w:rPr>
          <w:rFonts w:ascii="Times New Roman" w:eastAsia="Times New Roman" w:hAnsi="Times New Roman" w:cs="Times New Roman"/>
          <w:sz w:val="20"/>
          <w:szCs w:val="20"/>
        </w:rPr>
        <w:t>Paquot</w:t>
      </w:r>
      <w:proofErr w:type="spellEnd"/>
      <w:r>
        <w:rPr>
          <w:rFonts w:ascii="Times New Roman" w:eastAsia="Times New Roman" w:hAnsi="Times New Roman" w:cs="Times New Roman"/>
          <w:sz w:val="20"/>
          <w:szCs w:val="20"/>
        </w:rPr>
        <w:t xml:space="preserve">, « Habiter pour exister », dans </w:t>
      </w:r>
      <w:r>
        <w:rPr>
          <w:rFonts w:ascii="Times New Roman" w:eastAsia="Times New Roman" w:hAnsi="Times New Roman" w:cs="Times New Roman"/>
          <w:i/>
          <w:iCs/>
          <w:sz w:val="20"/>
          <w:szCs w:val="20"/>
        </w:rPr>
        <w:t>Habiter</w:t>
      </w:r>
      <w:r>
        <w:rPr>
          <w:rFonts w:ascii="Times New Roman" w:eastAsia="Times New Roman" w:hAnsi="Times New Roman" w:cs="Times New Roman"/>
          <w:sz w:val="20"/>
          <w:szCs w:val="20"/>
        </w:rPr>
        <w:t xml:space="preserve">, revue </w:t>
      </w:r>
      <w:r>
        <w:rPr>
          <w:rFonts w:ascii="Times New Roman" w:eastAsia="Times New Roman" w:hAnsi="Times New Roman" w:cs="Times New Roman"/>
          <w:i/>
          <w:iCs/>
          <w:sz w:val="20"/>
          <w:szCs w:val="20"/>
        </w:rPr>
        <w:t>303</w:t>
      </w:r>
      <w:r>
        <w:rPr>
          <w:rFonts w:ascii="Times New Roman" w:eastAsia="Times New Roman" w:hAnsi="Times New Roman" w:cs="Times New Roman"/>
          <w:sz w:val="20"/>
          <w:szCs w:val="20"/>
        </w:rPr>
        <w:t>, n° 167, septembre 2021, Éditions 303, p. 6-7</w:t>
      </w:r>
    </w:p>
  </w:footnote>
  <w:footnote w:id="8">
    <w:p w14:paraId="000009F8"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Le </w:t>
      </w:r>
      <w:proofErr w:type="spellStart"/>
      <w:r>
        <w:rPr>
          <w:rFonts w:ascii="Times New Roman" w:eastAsia="Times New Roman" w:hAnsi="Times New Roman" w:cs="Times New Roman"/>
          <w:sz w:val="20"/>
          <w:szCs w:val="20"/>
        </w:rPr>
        <w:t>Talec</w:t>
      </w:r>
      <w:proofErr w:type="spellEnd"/>
      <w:r>
        <w:rPr>
          <w:rFonts w:ascii="Times New Roman" w:eastAsia="Times New Roman" w:hAnsi="Times New Roman" w:cs="Times New Roman"/>
          <w:sz w:val="20"/>
          <w:szCs w:val="20"/>
        </w:rPr>
        <w:t xml:space="preserve">, Jean-Yves, Authier, Danièle, et </w:t>
      </w:r>
      <w:proofErr w:type="spellStart"/>
      <w:r>
        <w:rPr>
          <w:rFonts w:ascii="Times New Roman" w:eastAsia="Times New Roman" w:hAnsi="Times New Roman" w:cs="Times New Roman"/>
          <w:sz w:val="20"/>
          <w:szCs w:val="20"/>
        </w:rPr>
        <w:t>Tomolillo</w:t>
      </w:r>
      <w:proofErr w:type="spellEnd"/>
      <w:r>
        <w:rPr>
          <w:rFonts w:ascii="Times New Roman" w:eastAsia="Times New Roman" w:hAnsi="Times New Roman" w:cs="Times New Roman"/>
          <w:sz w:val="20"/>
          <w:szCs w:val="20"/>
        </w:rPr>
        <w:t xml:space="preserve">, Sylvie. « Définir : quand le genre s’emmêle… ». Dans : </w:t>
      </w:r>
      <w:r>
        <w:rPr>
          <w:rFonts w:ascii="Times New Roman" w:eastAsia="Times New Roman" w:hAnsi="Times New Roman" w:cs="Times New Roman"/>
          <w:i/>
          <w:iCs/>
          <w:sz w:val="20"/>
          <w:szCs w:val="20"/>
        </w:rPr>
        <w:t>La promotion de la santé au prisme du genre</w:t>
      </w:r>
      <w:r>
        <w:rPr>
          <w:rFonts w:ascii="Times New Roman" w:eastAsia="Times New Roman" w:hAnsi="Times New Roman" w:cs="Times New Roman"/>
          <w:sz w:val="20"/>
          <w:szCs w:val="20"/>
        </w:rPr>
        <w:t>. Presses de l’EHESP, 2019, p. 19–45.</w:t>
      </w:r>
    </w:p>
  </w:footnote>
  <w:footnote w:id="9">
    <w:p w14:paraId="00000A01" w14:textId="77777777" w:rsidR="004E766C" w:rsidRDefault="00000000">
      <w:pPr>
        <w:spacing w:line="240" w:lineRule="auto"/>
        <w:rPr>
          <w:sz w:val="16"/>
          <w:szCs w:val="16"/>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Depoil</w:t>
      </w:r>
      <w:proofErr w:type="spellEnd"/>
      <w:r>
        <w:rPr>
          <w:rFonts w:ascii="Times New Roman" w:eastAsia="Times New Roman" w:hAnsi="Times New Roman" w:cs="Times New Roman"/>
          <w:sz w:val="20"/>
          <w:szCs w:val="20"/>
        </w:rPr>
        <w:t xml:space="preserve"> Mathieu, « Le pouvoir d’agir : illusion participative du néolibéralisme ? » </w:t>
      </w:r>
      <w:r>
        <w:rPr>
          <w:rFonts w:ascii="Times New Roman" w:eastAsia="Times New Roman" w:hAnsi="Times New Roman" w:cs="Times New Roman"/>
          <w:i/>
          <w:iCs/>
          <w:sz w:val="20"/>
          <w:szCs w:val="20"/>
        </w:rPr>
        <w:t xml:space="preserve">La maison-phare, </w:t>
      </w:r>
      <w:r>
        <w:rPr>
          <w:rFonts w:ascii="Times New Roman" w:eastAsia="Times New Roman" w:hAnsi="Times New Roman" w:cs="Times New Roman"/>
          <w:sz w:val="20"/>
          <w:szCs w:val="20"/>
        </w:rPr>
        <w:t>2022.</w:t>
      </w:r>
      <w:r>
        <w:rPr>
          <w:rFonts w:ascii="Times New Roman" w:eastAsia="Times New Roman" w:hAnsi="Times New Roman" w:cs="Times New Roman"/>
          <w:i/>
          <w:iCs/>
          <w:sz w:val="20"/>
          <w:szCs w:val="20"/>
        </w:rPr>
        <w:t xml:space="preserve"> </w:t>
      </w:r>
      <w:r>
        <w:rPr>
          <w:rFonts w:ascii="Times New Roman" w:eastAsia="Times New Roman" w:hAnsi="Times New Roman" w:cs="Times New Roman"/>
          <w:sz w:val="20"/>
          <w:szCs w:val="20"/>
        </w:rPr>
        <w:t>Consulté le 30 mars 2026</w:t>
      </w:r>
    </w:p>
  </w:footnote>
  <w:footnote w:id="10">
    <w:p w14:paraId="00000A37"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Pache, S.  (2019). L’histoire féministe de la « psychologisation des violences » Cahiers du Genre, 66(1), 51-70. </w:t>
      </w:r>
    </w:p>
  </w:footnote>
  <w:footnote w:id="11">
    <w:p w14:paraId="000009F9" w14:textId="77777777" w:rsidR="004E766C"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Salle, Muriel. « Sexisme en santé ? Penser la complexité pour faire bouger les lignes ». </w:t>
      </w:r>
      <w:r>
        <w:rPr>
          <w:rFonts w:ascii="Times New Roman" w:eastAsia="Times New Roman" w:hAnsi="Times New Roman" w:cs="Times New Roman"/>
          <w:i/>
          <w:iCs/>
          <w:sz w:val="20"/>
          <w:szCs w:val="20"/>
        </w:rPr>
        <w:t>Journal du Droit de la Santé et de l’Assurance - Maladie (JDSAM)</w:t>
      </w:r>
      <w:r>
        <w:rPr>
          <w:rFonts w:ascii="Times New Roman" w:eastAsia="Times New Roman" w:hAnsi="Times New Roman" w:cs="Times New Roman"/>
          <w:sz w:val="20"/>
          <w:szCs w:val="20"/>
        </w:rPr>
        <w:t>, n</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43 (2025) : p. 7‑14. </w:t>
      </w:r>
    </w:p>
  </w:footnote>
  <w:footnote w:id="12">
    <w:p w14:paraId="000009FA" w14:textId="77777777" w:rsidR="004E766C" w:rsidRDefault="00000000">
      <w:pPr>
        <w:spacing w:line="240" w:lineRule="auto"/>
        <w:rPr>
          <w:sz w:val="20"/>
          <w:szCs w:val="20"/>
          <w:vertAlign w:val="superscript"/>
        </w:rPr>
      </w:pPr>
      <w:r>
        <w:rPr>
          <w:vertAlign w:val="superscript"/>
        </w:rPr>
        <w:footnoteRef/>
      </w:r>
      <w:r>
        <w:rPr>
          <w:sz w:val="20"/>
          <w:szCs w:val="20"/>
          <w:vertAlign w:val="superscript"/>
        </w:rPr>
        <w:t xml:space="preserve"> </w:t>
      </w:r>
      <w:proofErr w:type="spellStart"/>
      <w:r>
        <w:rPr>
          <w:rFonts w:ascii="Times New Roman" w:eastAsia="Times New Roman" w:hAnsi="Times New Roman" w:cs="Times New Roman"/>
          <w:i/>
          <w:iCs/>
          <w:sz w:val="20"/>
          <w:szCs w:val="20"/>
        </w:rPr>
        <w:t>Ibid</w:t>
      </w:r>
      <w:proofErr w:type="spellEnd"/>
    </w:p>
  </w:footnote>
  <w:footnote w:id="13">
    <w:p w14:paraId="000009FB" w14:textId="77777777" w:rsidR="004E766C" w:rsidRDefault="00000000">
      <w:pPr>
        <w:spacing w:line="240" w:lineRule="auto"/>
        <w:rPr>
          <w:rFonts w:ascii="Times New Roman" w:eastAsia="Times New Roman" w:hAnsi="Times New Roman" w:cs="Times New Roman"/>
          <w:sz w:val="20"/>
          <w:szCs w:val="20"/>
          <w:vertAlign w:val="superscript"/>
        </w:rPr>
      </w:pPr>
      <w:r>
        <w:rPr>
          <w:vertAlign w:val="superscript"/>
        </w:rPr>
        <w:footnoteRef/>
      </w:r>
      <w:r>
        <w:rPr>
          <w:rFonts w:ascii="Times New Roman" w:eastAsia="Times New Roman" w:hAnsi="Times New Roman" w:cs="Times New Roman"/>
          <w:sz w:val="20"/>
          <w:szCs w:val="20"/>
          <w:vertAlign w:val="superscript"/>
        </w:rPr>
        <w:t xml:space="preserve"> </w:t>
      </w:r>
      <w:r>
        <w:rPr>
          <w:rFonts w:ascii="Times New Roman" w:eastAsia="Times New Roman" w:hAnsi="Times New Roman" w:cs="Times New Roman"/>
          <w:sz w:val="20"/>
          <w:szCs w:val="20"/>
        </w:rPr>
        <w:t xml:space="preserve">Centre national de ressources textuelles et lexicales (CNRTL), </w:t>
      </w:r>
      <w:r>
        <w:rPr>
          <w:rFonts w:ascii="Times New Roman" w:eastAsia="Times New Roman" w:hAnsi="Times New Roman" w:cs="Times New Roman"/>
          <w:i/>
          <w:iCs/>
          <w:sz w:val="20"/>
          <w:szCs w:val="20"/>
        </w:rPr>
        <w:t>Définition de « « féminisme »</w:t>
      </w:r>
      <w:r>
        <w:rPr>
          <w:rFonts w:ascii="Times New Roman" w:eastAsia="Times New Roman" w:hAnsi="Times New Roman" w:cs="Times New Roman"/>
          <w:sz w:val="20"/>
          <w:szCs w:val="20"/>
        </w:rPr>
        <w:t xml:space="preserve">. Consulté le 30 mars 2026 </w:t>
      </w:r>
    </w:p>
  </w:footnote>
  <w:footnote w:id="14">
    <w:p w14:paraId="000009FC"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vertAlign w:val="superscript"/>
        </w:rPr>
        <w:t xml:space="preserve"> </w:t>
      </w:r>
      <w:r>
        <w:rPr>
          <w:rFonts w:ascii="Times New Roman" w:eastAsia="Times New Roman" w:hAnsi="Times New Roman" w:cs="Times New Roman"/>
          <w:sz w:val="20"/>
          <w:szCs w:val="20"/>
        </w:rPr>
        <w:t xml:space="preserve">Le </w:t>
      </w:r>
      <w:proofErr w:type="spellStart"/>
      <w:r>
        <w:rPr>
          <w:rFonts w:ascii="Times New Roman" w:eastAsia="Times New Roman" w:hAnsi="Times New Roman" w:cs="Times New Roman"/>
          <w:sz w:val="20"/>
          <w:szCs w:val="20"/>
        </w:rPr>
        <w:t>Talec</w:t>
      </w:r>
      <w:proofErr w:type="spellEnd"/>
      <w:r>
        <w:rPr>
          <w:rFonts w:ascii="Times New Roman" w:eastAsia="Times New Roman" w:hAnsi="Times New Roman" w:cs="Times New Roman"/>
          <w:sz w:val="20"/>
          <w:szCs w:val="20"/>
        </w:rPr>
        <w:t xml:space="preserve">, Jean-Yves, Authier, Danièle, et </w:t>
      </w:r>
      <w:proofErr w:type="spellStart"/>
      <w:r>
        <w:rPr>
          <w:rFonts w:ascii="Times New Roman" w:eastAsia="Times New Roman" w:hAnsi="Times New Roman" w:cs="Times New Roman"/>
          <w:sz w:val="20"/>
          <w:szCs w:val="20"/>
        </w:rPr>
        <w:t>Tomolillo</w:t>
      </w:r>
      <w:proofErr w:type="spellEnd"/>
      <w:r>
        <w:rPr>
          <w:rFonts w:ascii="Times New Roman" w:eastAsia="Times New Roman" w:hAnsi="Times New Roman" w:cs="Times New Roman"/>
          <w:sz w:val="20"/>
          <w:szCs w:val="20"/>
        </w:rPr>
        <w:t xml:space="preserve">, Sylvie. « Définir : quand le genre s’emmêle… ». Dans : </w:t>
      </w:r>
      <w:r>
        <w:rPr>
          <w:rFonts w:ascii="Times New Roman" w:eastAsia="Times New Roman" w:hAnsi="Times New Roman" w:cs="Times New Roman"/>
          <w:i/>
          <w:iCs/>
          <w:sz w:val="20"/>
          <w:szCs w:val="20"/>
        </w:rPr>
        <w:t>La promotion de la santé au prisme du genre</w:t>
      </w:r>
      <w:r>
        <w:rPr>
          <w:rFonts w:ascii="Times New Roman" w:eastAsia="Times New Roman" w:hAnsi="Times New Roman" w:cs="Times New Roman"/>
          <w:sz w:val="20"/>
          <w:szCs w:val="20"/>
        </w:rPr>
        <w:t>. Presses de l’EHESP, 2019, p. 19–45.</w:t>
      </w:r>
    </w:p>
  </w:footnote>
  <w:footnote w:id="15">
    <w:p w14:paraId="000009FD" w14:textId="77777777" w:rsidR="004E766C" w:rsidRDefault="00000000">
      <w:pPr>
        <w:spacing w:line="240" w:lineRule="auto"/>
        <w:rPr>
          <w:sz w:val="20"/>
          <w:szCs w:val="20"/>
          <w:vertAlign w:val="superscript"/>
        </w:rPr>
      </w:pPr>
      <w:r>
        <w:rPr>
          <w:vertAlign w:val="superscript"/>
        </w:rPr>
        <w:footnoteRef/>
      </w:r>
      <w:r>
        <w:rPr>
          <w:sz w:val="20"/>
          <w:szCs w:val="20"/>
          <w:vertAlign w:val="superscript"/>
        </w:rPr>
        <w:t xml:space="preserve"> </w:t>
      </w:r>
      <w:proofErr w:type="spellStart"/>
      <w:r>
        <w:rPr>
          <w:rFonts w:ascii="Times New Roman" w:eastAsia="Times New Roman" w:hAnsi="Times New Roman" w:cs="Times New Roman"/>
          <w:i/>
          <w:iCs/>
          <w:sz w:val="20"/>
          <w:szCs w:val="20"/>
        </w:rPr>
        <w:t>Ibid</w:t>
      </w:r>
      <w:proofErr w:type="spellEnd"/>
    </w:p>
  </w:footnote>
  <w:footnote w:id="16">
    <w:p w14:paraId="000009FE" w14:textId="77777777" w:rsidR="004E766C" w:rsidRDefault="00000000">
      <w:pPr>
        <w:spacing w:line="240" w:lineRule="auto"/>
        <w:rPr>
          <w:sz w:val="20"/>
          <w:szCs w:val="20"/>
          <w:vertAlign w:val="superscript"/>
        </w:rPr>
      </w:pPr>
      <w:r>
        <w:rPr>
          <w:vertAlign w:val="superscript"/>
        </w:rPr>
        <w:footnoteRef/>
      </w:r>
      <w:r>
        <w:rPr>
          <w:sz w:val="20"/>
          <w:szCs w:val="20"/>
          <w:vertAlign w:val="superscript"/>
        </w:rPr>
        <w:t xml:space="preserve"> </w:t>
      </w:r>
      <w:proofErr w:type="spellStart"/>
      <w:r>
        <w:rPr>
          <w:rFonts w:ascii="Times New Roman" w:eastAsia="Times New Roman" w:hAnsi="Times New Roman" w:cs="Times New Roman"/>
          <w:i/>
          <w:iCs/>
          <w:sz w:val="20"/>
          <w:szCs w:val="20"/>
        </w:rPr>
        <w:t>Ibid</w:t>
      </w:r>
      <w:proofErr w:type="spellEnd"/>
    </w:p>
  </w:footnote>
  <w:footnote w:id="17">
    <w:p w14:paraId="00000A06"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Notre problématique étant : </w:t>
      </w:r>
      <w:r>
        <w:rPr>
          <w:rFonts w:ascii="Times New Roman" w:eastAsia="Times New Roman" w:hAnsi="Times New Roman" w:cs="Times New Roman"/>
          <w:i/>
          <w:iCs/>
          <w:sz w:val="20"/>
          <w:szCs w:val="20"/>
        </w:rPr>
        <w:t xml:space="preserve">Comment développer une culture partagée de l’hospitalité entre les différentes parties prenantes — bénéficiaires et professionnelles — de la Maison des Femmes de Lyon afin d’habiter ce lieu et d’en faire un « refuge » d’inspiration féministe, inclusif et accueillant, prenant en compte les besoins des différentes protagonistes </w:t>
      </w:r>
      <w:r>
        <w:rPr>
          <w:rFonts w:ascii="Times New Roman" w:eastAsia="Times New Roman" w:hAnsi="Times New Roman" w:cs="Times New Roman"/>
          <w:sz w:val="20"/>
          <w:szCs w:val="20"/>
        </w:rPr>
        <w:t>?</w:t>
      </w:r>
    </w:p>
  </w:footnote>
  <w:footnote w:id="18">
    <w:p w14:paraId="00000A0A"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Dubar, Claude, Pierre Tripier, et Valérie Boussard. </w:t>
      </w:r>
      <w:r>
        <w:rPr>
          <w:rFonts w:ascii="Times New Roman" w:eastAsia="Times New Roman" w:hAnsi="Times New Roman" w:cs="Times New Roman"/>
          <w:i/>
          <w:iCs/>
          <w:sz w:val="20"/>
          <w:szCs w:val="20"/>
        </w:rPr>
        <w:t>Sociologie des professions</w:t>
      </w:r>
      <w:r>
        <w:rPr>
          <w:rFonts w:ascii="Times New Roman" w:eastAsia="Times New Roman" w:hAnsi="Times New Roman" w:cs="Times New Roman"/>
          <w:sz w:val="20"/>
          <w:szCs w:val="20"/>
        </w:rPr>
        <w:t xml:space="preserve">. 4e éd., Armand Colin, 2015. </w:t>
      </w:r>
    </w:p>
  </w:footnote>
  <w:footnote w:id="19">
    <w:p w14:paraId="00000A10"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Sapiro</w:t>
      </w:r>
      <w:proofErr w:type="spellEnd"/>
      <w:r>
        <w:rPr>
          <w:rFonts w:ascii="Times New Roman" w:eastAsia="Times New Roman" w:hAnsi="Times New Roman" w:cs="Times New Roman"/>
          <w:sz w:val="20"/>
          <w:szCs w:val="20"/>
        </w:rPr>
        <w:t xml:space="preserve">, Gisèle. « Repenser le concept d’autonomie pour la sociologie des biens symboliques ». </w:t>
      </w:r>
      <w:r>
        <w:rPr>
          <w:rFonts w:ascii="Times New Roman" w:eastAsia="Times New Roman" w:hAnsi="Times New Roman" w:cs="Times New Roman"/>
          <w:i/>
          <w:iCs/>
          <w:sz w:val="20"/>
          <w:szCs w:val="20"/>
        </w:rPr>
        <w:t xml:space="preserve">Biens Symboliques / </w:t>
      </w:r>
      <w:proofErr w:type="spellStart"/>
      <w:r>
        <w:rPr>
          <w:rFonts w:ascii="Times New Roman" w:eastAsia="Times New Roman" w:hAnsi="Times New Roman" w:cs="Times New Roman"/>
          <w:i/>
          <w:iCs/>
          <w:sz w:val="20"/>
          <w:szCs w:val="20"/>
        </w:rPr>
        <w:t>Symbolic</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Goods</w:t>
      </w:r>
      <w:proofErr w:type="spellEnd"/>
      <w:r>
        <w:rPr>
          <w:rFonts w:ascii="Times New Roman" w:eastAsia="Times New Roman" w:hAnsi="Times New Roman" w:cs="Times New Roman"/>
          <w:sz w:val="20"/>
          <w:szCs w:val="20"/>
        </w:rPr>
        <w:t xml:space="preserve">, no. 1, 2017. </w:t>
      </w:r>
    </w:p>
  </w:footnote>
  <w:footnote w:id="20">
    <w:p w14:paraId="00000A0E" w14:textId="77777777" w:rsidR="004E766C" w:rsidRDefault="00000000">
      <w:pPr>
        <w:pBdr>
          <w:top w:val="nil"/>
          <w:left w:val="nil"/>
          <w:bottom w:val="nil"/>
          <w:right w:val="nil"/>
          <w:between w:val="nil"/>
        </w:pBdr>
        <w:spacing w:line="240" w:lineRule="auto"/>
        <w:jc w:val="both"/>
        <w:rPr>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Déplaude</w:t>
      </w:r>
      <w:proofErr w:type="spellEnd"/>
      <w:r>
        <w:rPr>
          <w:rFonts w:ascii="Times New Roman" w:eastAsia="Times New Roman" w:hAnsi="Times New Roman" w:cs="Times New Roman"/>
          <w:sz w:val="20"/>
          <w:szCs w:val="20"/>
        </w:rPr>
        <w:t xml:space="preserve">, Marc-Olivier. « La fin de la sélection ? Retour sur la genèse du numerus clausus de médecine (1968-1979) ». </w:t>
      </w:r>
      <w:r>
        <w:rPr>
          <w:rFonts w:ascii="Times New Roman" w:eastAsia="Times New Roman" w:hAnsi="Times New Roman" w:cs="Times New Roman"/>
          <w:i/>
          <w:iCs/>
          <w:sz w:val="20"/>
          <w:szCs w:val="20"/>
        </w:rPr>
        <w:t>Études de santé : le temps des réformes</w:t>
      </w:r>
      <w:r>
        <w:rPr>
          <w:rFonts w:ascii="Times New Roman" w:eastAsia="Times New Roman" w:hAnsi="Times New Roman" w:cs="Times New Roman"/>
          <w:sz w:val="20"/>
          <w:szCs w:val="20"/>
        </w:rPr>
        <w:t xml:space="preserve">, dirigé par Stéphane Le Bouler et Pauline </w:t>
      </w:r>
      <w:proofErr w:type="spellStart"/>
      <w:r>
        <w:rPr>
          <w:rFonts w:ascii="Times New Roman" w:eastAsia="Times New Roman" w:hAnsi="Times New Roman" w:cs="Times New Roman"/>
          <w:sz w:val="20"/>
          <w:szCs w:val="20"/>
        </w:rPr>
        <w:t>Lenesley</w:t>
      </w:r>
      <w:proofErr w:type="spellEnd"/>
      <w:r>
        <w:rPr>
          <w:rFonts w:ascii="Times New Roman" w:eastAsia="Times New Roman" w:hAnsi="Times New Roman" w:cs="Times New Roman"/>
          <w:sz w:val="20"/>
          <w:szCs w:val="20"/>
        </w:rPr>
        <w:t xml:space="preserve">, Presses universitaires François-Rabelais, 2021, pp. 77-85. </w:t>
      </w:r>
    </w:p>
  </w:footnote>
  <w:footnote w:id="21">
    <w:p w14:paraId="00000A0F"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Dubar, Claude. « 3. La crise des identités professionnelles ». </w:t>
      </w:r>
      <w:r>
        <w:rPr>
          <w:rFonts w:ascii="Times New Roman" w:eastAsia="Times New Roman" w:hAnsi="Times New Roman" w:cs="Times New Roman"/>
          <w:i/>
          <w:iCs/>
          <w:sz w:val="20"/>
          <w:szCs w:val="20"/>
        </w:rPr>
        <w:t>La crise des identités : l'interprétation d'une mutation</w:t>
      </w:r>
      <w:r>
        <w:rPr>
          <w:rFonts w:ascii="Times New Roman" w:eastAsia="Times New Roman" w:hAnsi="Times New Roman" w:cs="Times New Roman"/>
          <w:sz w:val="20"/>
          <w:szCs w:val="20"/>
        </w:rPr>
        <w:t>, Presses Universitaires de France, 2010, pp. 95-128.</w:t>
      </w:r>
    </w:p>
  </w:footnote>
  <w:footnote w:id="22">
    <w:p w14:paraId="00000A11"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Gisèle </w:t>
      </w:r>
      <w:proofErr w:type="spellStart"/>
      <w:r>
        <w:rPr>
          <w:rFonts w:ascii="Times New Roman" w:eastAsia="Times New Roman" w:hAnsi="Times New Roman" w:cs="Times New Roman"/>
          <w:sz w:val="20"/>
          <w:szCs w:val="20"/>
        </w:rPr>
        <w:t>Sapiro</w:t>
      </w:r>
      <w:proofErr w:type="spellEnd"/>
      <w:r>
        <w:rPr>
          <w:rFonts w:ascii="Times New Roman" w:eastAsia="Times New Roman" w:hAnsi="Times New Roman" w:cs="Times New Roman"/>
          <w:sz w:val="20"/>
          <w:szCs w:val="20"/>
        </w:rPr>
        <w:t>, « Repenser le concept d’autonomie pour la sociologie des biens symboliques », Biens Symboliques.</w:t>
      </w:r>
    </w:p>
  </w:footnote>
  <w:footnote w:id="23">
    <w:p w14:paraId="00000A12"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Winkler, Mary K., et S. D. </w:t>
      </w:r>
      <w:proofErr w:type="spellStart"/>
      <w:r>
        <w:rPr>
          <w:rFonts w:ascii="Times New Roman" w:eastAsia="Times New Roman" w:hAnsi="Times New Roman" w:cs="Times New Roman"/>
          <w:sz w:val="20"/>
          <w:szCs w:val="20"/>
        </w:rPr>
        <w:t>Fyffe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Strategies</w:t>
      </w:r>
      <w:proofErr w:type="spellEnd"/>
      <w:r>
        <w:rPr>
          <w:rFonts w:ascii="Times New Roman" w:eastAsia="Times New Roman" w:hAnsi="Times New Roman" w:cs="Times New Roman"/>
          <w:i/>
          <w:iCs/>
          <w:sz w:val="20"/>
          <w:szCs w:val="20"/>
        </w:rPr>
        <w:t xml:space="preserve"> for </w:t>
      </w:r>
      <w:proofErr w:type="spellStart"/>
      <w:r>
        <w:rPr>
          <w:rFonts w:ascii="Times New Roman" w:eastAsia="Times New Roman" w:hAnsi="Times New Roman" w:cs="Times New Roman"/>
          <w:i/>
          <w:iCs/>
          <w:sz w:val="20"/>
          <w:szCs w:val="20"/>
        </w:rPr>
        <w:t>Cultivating</w:t>
      </w:r>
      <w:proofErr w:type="spellEnd"/>
      <w:r>
        <w:rPr>
          <w:rFonts w:ascii="Times New Roman" w:eastAsia="Times New Roman" w:hAnsi="Times New Roman" w:cs="Times New Roman"/>
          <w:i/>
          <w:iCs/>
          <w:sz w:val="20"/>
          <w:szCs w:val="20"/>
        </w:rPr>
        <w:t xml:space="preserve"> an </w:t>
      </w:r>
      <w:proofErr w:type="spellStart"/>
      <w:r>
        <w:rPr>
          <w:rFonts w:ascii="Times New Roman" w:eastAsia="Times New Roman" w:hAnsi="Times New Roman" w:cs="Times New Roman"/>
          <w:i/>
          <w:iCs/>
          <w:sz w:val="20"/>
          <w:szCs w:val="20"/>
        </w:rPr>
        <w:t>Organizational</w:t>
      </w:r>
      <w:proofErr w:type="spellEnd"/>
      <w:r>
        <w:rPr>
          <w:rFonts w:ascii="Times New Roman" w:eastAsia="Times New Roman" w:hAnsi="Times New Roman" w:cs="Times New Roman"/>
          <w:i/>
          <w:iCs/>
          <w:sz w:val="20"/>
          <w:szCs w:val="20"/>
        </w:rPr>
        <w:t xml:space="preserve"> Learning Culture. Urban Institute</w:t>
      </w:r>
      <w:r>
        <w:rPr>
          <w:rFonts w:ascii="Times New Roman" w:eastAsia="Times New Roman" w:hAnsi="Times New Roman" w:cs="Times New Roman"/>
          <w:sz w:val="20"/>
          <w:szCs w:val="20"/>
        </w:rPr>
        <w:t>, 2016.</w:t>
      </w:r>
    </w:p>
  </w:footnote>
  <w:footnote w:id="24">
    <w:p w14:paraId="00000A27"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Lachowsky</w:t>
      </w:r>
      <w:proofErr w:type="spellEnd"/>
      <w:r>
        <w:rPr>
          <w:rFonts w:ascii="Times New Roman" w:eastAsia="Times New Roman" w:hAnsi="Times New Roman" w:cs="Times New Roman"/>
          <w:sz w:val="20"/>
          <w:szCs w:val="20"/>
        </w:rPr>
        <w:t xml:space="preserve">, M. « Gynécologie psychosomatique, gynécologie et psychosomatique ? ». </w:t>
      </w:r>
      <w:r>
        <w:rPr>
          <w:rFonts w:ascii="Times New Roman" w:eastAsia="Times New Roman" w:hAnsi="Times New Roman" w:cs="Times New Roman"/>
          <w:i/>
          <w:iCs/>
          <w:sz w:val="20"/>
          <w:szCs w:val="20"/>
        </w:rPr>
        <w:t>Gynécologie Obstétrique &amp; Fertilité</w:t>
      </w:r>
      <w:r>
        <w:rPr>
          <w:rFonts w:ascii="Times New Roman" w:eastAsia="Times New Roman" w:hAnsi="Times New Roman" w:cs="Times New Roman"/>
          <w:sz w:val="20"/>
          <w:szCs w:val="20"/>
        </w:rPr>
        <w:t>, vol. 31, no. 12, 2003, pp. 1059-1064.</w:t>
      </w:r>
    </w:p>
  </w:footnote>
  <w:footnote w:id="25">
    <w:p w14:paraId="00000A28" w14:textId="77777777" w:rsidR="004E766C" w:rsidRDefault="00000000">
      <w:pPr>
        <w:spacing w:line="240" w:lineRule="auto"/>
        <w:rPr>
          <w:rFonts w:ascii="Times New Roman" w:eastAsia="Times New Roman" w:hAnsi="Times New Roman" w:cs="Times New Roman"/>
          <w:i/>
          <w:iCs/>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iCs/>
          <w:sz w:val="20"/>
          <w:szCs w:val="20"/>
        </w:rPr>
        <w:t>Ibid</w:t>
      </w:r>
      <w:proofErr w:type="spellEnd"/>
    </w:p>
  </w:footnote>
  <w:footnote w:id="26">
    <w:p w14:paraId="00000A13"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Bourdieu, Pierre. « La force du droit : éléments pour une sociologie du champ juridique ». Actes de la recherche en sciences sociales, vol. 64, no. 1, 1986, pp. 3-19</w:t>
      </w:r>
    </w:p>
  </w:footnote>
  <w:footnote w:id="27">
    <w:p w14:paraId="00000A14"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Wangmann</w:t>
      </w:r>
      <w:proofErr w:type="spellEnd"/>
      <w:r>
        <w:rPr>
          <w:rFonts w:ascii="Times New Roman" w:eastAsia="Times New Roman" w:hAnsi="Times New Roman" w:cs="Times New Roman"/>
          <w:sz w:val="20"/>
          <w:szCs w:val="20"/>
        </w:rPr>
        <w:t xml:space="preserve">, Jane, et al. « </w:t>
      </w:r>
      <w:proofErr w:type="spellStart"/>
      <w:r>
        <w:rPr>
          <w:rFonts w:ascii="Times New Roman" w:eastAsia="Times New Roman" w:hAnsi="Times New Roman" w:cs="Times New Roman"/>
          <w:sz w:val="20"/>
          <w:szCs w:val="20"/>
        </w:rPr>
        <w:t>What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is</w:t>
      </w:r>
      <w:proofErr w:type="spellEnd"/>
      <w:r>
        <w:rPr>
          <w:rFonts w:ascii="Times New Roman" w:eastAsia="Times New Roman" w:hAnsi="Times New Roman" w:cs="Times New Roman"/>
          <w:sz w:val="20"/>
          <w:szCs w:val="20"/>
        </w:rPr>
        <w:t xml:space="preserve"> ‘Good’ Domestic Violence </w:t>
      </w:r>
      <w:proofErr w:type="spellStart"/>
      <w:proofErr w:type="gramStart"/>
      <w:r>
        <w:rPr>
          <w:rFonts w:ascii="Times New Roman" w:eastAsia="Times New Roman" w:hAnsi="Times New Roman" w:cs="Times New Roman"/>
          <w:sz w:val="20"/>
          <w:szCs w:val="20"/>
        </w:rPr>
        <w:t>Lawyering</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Views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from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Specialist</w:t>
      </w:r>
      <w:proofErr w:type="spellEnd"/>
      <w:r>
        <w:rPr>
          <w:rFonts w:ascii="Times New Roman" w:eastAsia="Times New Roman" w:hAnsi="Times New Roman" w:cs="Times New Roman"/>
          <w:sz w:val="20"/>
          <w:szCs w:val="20"/>
        </w:rPr>
        <w:t xml:space="preserve"> Legal Services in </w:t>
      </w:r>
      <w:proofErr w:type="spellStart"/>
      <w:r>
        <w:rPr>
          <w:rFonts w:ascii="Times New Roman" w:eastAsia="Times New Roman" w:hAnsi="Times New Roman" w:cs="Times New Roman"/>
          <w:sz w:val="20"/>
          <w:szCs w:val="20"/>
        </w:rPr>
        <w:t>Australia</w:t>
      </w:r>
      <w:proofErr w:type="spellEnd"/>
      <w:r>
        <w:rPr>
          <w:rFonts w:ascii="Times New Roman" w:eastAsia="Times New Roman" w:hAnsi="Times New Roman" w:cs="Times New Roman"/>
          <w:sz w:val="20"/>
          <w:szCs w:val="20"/>
        </w:rPr>
        <w:t xml:space="preserve"> ». International Journal of Law, Policy and the Family, vol. 35, no. 1, 2021.</w:t>
      </w:r>
    </w:p>
  </w:footnote>
  <w:footnote w:id="28">
    <w:p w14:paraId="00000A34"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Dubasque</w:t>
      </w:r>
      <w:proofErr w:type="spellEnd"/>
      <w:r>
        <w:rPr>
          <w:rFonts w:ascii="Times New Roman" w:eastAsia="Times New Roman" w:hAnsi="Times New Roman" w:cs="Times New Roman"/>
          <w:sz w:val="20"/>
          <w:szCs w:val="20"/>
        </w:rPr>
        <w:t>, Les identités professionnelles des travailleurs sociaux : des constructions solides qui savent s’adapter aux besoins de la société, 14/08/2018</w:t>
      </w:r>
    </w:p>
  </w:footnote>
  <w:footnote w:id="29">
    <w:p w14:paraId="00000A29"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Rogers, C. R. </w:t>
      </w:r>
      <w:r>
        <w:rPr>
          <w:rFonts w:ascii="Times New Roman" w:eastAsia="Times New Roman" w:hAnsi="Times New Roman" w:cs="Times New Roman"/>
          <w:i/>
          <w:iCs/>
          <w:sz w:val="20"/>
          <w:szCs w:val="20"/>
        </w:rPr>
        <w:t>Client-</w:t>
      </w:r>
      <w:proofErr w:type="spellStart"/>
      <w:r>
        <w:rPr>
          <w:rFonts w:ascii="Times New Roman" w:eastAsia="Times New Roman" w:hAnsi="Times New Roman" w:cs="Times New Roman"/>
          <w:i/>
          <w:iCs/>
          <w:sz w:val="20"/>
          <w:szCs w:val="20"/>
        </w:rPr>
        <w:t>centered</w:t>
      </w:r>
      <w:proofErr w:type="spellEnd"/>
      <w:r>
        <w:rPr>
          <w:rFonts w:ascii="Times New Roman" w:eastAsia="Times New Roman" w:hAnsi="Times New Roman" w:cs="Times New Roman"/>
          <w:i/>
          <w:iCs/>
          <w:sz w:val="20"/>
          <w:szCs w:val="20"/>
        </w:rPr>
        <w:t xml:space="preserve"> </w:t>
      </w:r>
      <w:proofErr w:type="spellStart"/>
      <w:proofErr w:type="gramStart"/>
      <w:r>
        <w:rPr>
          <w:rFonts w:ascii="Times New Roman" w:eastAsia="Times New Roman" w:hAnsi="Times New Roman" w:cs="Times New Roman"/>
          <w:i/>
          <w:iCs/>
          <w:sz w:val="20"/>
          <w:szCs w:val="20"/>
        </w:rPr>
        <w:t>therapy</w:t>
      </w:r>
      <w:proofErr w:type="spellEnd"/>
      <w:r>
        <w:rPr>
          <w:rFonts w:ascii="Times New Roman" w:eastAsia="Times New Roman" w:hAnsi="Times New Roman" w:cs="Times New Roman"/>
          <w:i/>
          <w:iCs/>
          <w:sz w:val="20"/>
          <w:szCs w:val="20"/>
        </w:rPr>
        <w:t>;</w:t>
      </w:r>
      <w:proofErr w:type="gram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its</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current</w:t>
      </w:r>
      <w:proofErr w:type="spellEnd"/>
      <w:r>
        <w:rPr>
          <w:rFonts w:ascii="Times New Roman" w:eastAsia="Times New Roman" w:hAnsi="Times New Roman" w:cs="Times New Roman"/>
          <w:i/>
          <w:iCs/>
          <w:sz w:val="20"/>
          <w:szCs w:val="20"/>
        </w:rPr>
        <w:t xml:space="preserve"> practice, implications, and </w:t>
      </w:r>
      <w:proofErr w:type="spellStart"/>
      <w:r>
        <w:rPr>
          <w:rFonts w:ascii="Times New Roman" w:eastAsia="Times New Roman" w:hAnsi="Times New Roman" w:cs="Times New Roman"/>
          <w:i/>
          <w:iCs/>
          <w:sz w:val="20"/>
          <w:szCs w:val="20"/>
        </w:rPr>
        <w:t>theory</w:t>
      </w:r>
      <w:proofErr w:type="spellEnd"/>
      <w:r>
        <w:rPr>
          <w:rFonts w:ascii="Times New Roman" w:eastAsia="Times New Roman" w:hAnsi="Times New Roman" w:cs="Times New Roman"/>
          <w:sz w:val="20"/>
          <w:szCs w:val="20"/>
        </w:rPr>
        <w:t xml:space="preserve">. Houghton </w:t>
      </w:r>
      <w:proofErr w:type="spellStart"/>
      <w:r>
        <w:rPr>
          <w:rFonts w:ascii="Times New Roman" w:eastAsia="Times New Roman" w:hAnsi="Times New Roman" w:cs="Times New Roman"/>
          <w:sz w:val="20"/>
          <w:szCs w:val="20"/>
        </w:rPr>
        <w:t>Mifflin</w:t>
      </w:r>
      <w:proofErr w:type="spellEnd"/>
      <w:r>
        <w:rPr>
          <w:rFonts w:ascii="Times New Roman" w:eastAsia="Times New Roman" w:hAnsi="Times New Roman" w:cs="Times New Roman"/>
          <w:sz w:val="20"/>
          <w:szCs w:val="20"/>
        </w:rPr>
        <w:t>. 1951</w:t>
      </w:r>
    </w:p>
  </w:footnote>
  <w:footnote w:id="30">
    <w:p w14:paraId="00000A2A"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Dubechot</w:t>
      </w:r>
      <w:proofErr w:type="spellEnd"/>
      <w:r>
        <w:rPr>
          <w:rFonts w:ascii="Times New Roman" w:eastAsia="Times New Roman" w:hAnsi="Times New Roman" w:cs="Times New Roman"/>
          <w:sz w:val="20"/>
          <w:szCs w:val="20"/>
        </w:rPr>
        <w:t xml:space="preserve">, Patrick, et al. </w:t>
      </w:r>
      <w:r>
        <w:rPr>
          <w:rFonts w:ascii="Times New Roman" w:eastAsia="Times New Roman" w:hAnsi="Times New Roman" w:cs="Times New Roman"/>
          <w:i/>
          <w:iCs/>
          <w:sz w:val="20"/>
          <w:szCs w:val="20"/>
        </w:rPr>
        <w:t>La sociologie au service du travail social</w:t>
      </w:r>
      <w:r>
        <w:rPr>
          <w:rFonts w:ascii="Times New Roman" w:eastAsia="Times New Roman" w:hAnsi="Times New Roman" w:cs="Times New Roman"/>
          <w:sz w:val="20"/>
          <w:szCs w:val="20"/>
        </w:rPr>
        <w:t>. Dunod, 2005.</w:t>
      </w:r>
    </w:p>
  </w:footnote>
  <w:footnote w:id="31">
    <w:p w14:paraId="00000A2E"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Emmanuel </w:t>
      </w:r>
      <w:proofErr w:type="spellStart"/>
      <w:r>
        <w:rPr>
          <w:rFonts w:ascii="Times New Roman" w:eastAsia="Times New Roman" w:hAnsi="Times New Roman" w:cs="Times New Roman"/>
          <w:sz w:val="20"/>
          <w:szCs w:val="20"/>
        </w:rPr>
        <w:t>Lévinas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Totalité et Infini : essai sur l’extériorité</w:t>
      </w:r>
      <w:r>
        <w:rPr>
          <w:rFonts w:ascii="Times New Roman" w:eastAsia="Times New Roman" w:hAnsi="Times New Roman" w:cs="Times New Roman"/>
          <w:sz w:val="20"/>
          <w:szCs w:val="20"/>
        </w:rPr>
        <w:t>. J. Vrin, 1961</w:t>
      </w:r>
    </w:p>
  </w:footnote>
  <w:footnote w:id="32">
    <w:p w14:paraId="00000A2F"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Merleau-Ponty, Maurice. </w:t>
      </w:r>
      <w:r>
        <w:rPr>
          <w:rFonts w:ascii="Times New Roman" w:eastAsia="Times New Roman" w:hAnsi="Times New Roman" w:cs="Times New Roman"/>
          <w:i/>
          <w:iCs/>
          <w:sz w:val="20"/>
          <w:szCs w:val="20"/>
        </w:rPr>
        <w:t>Le Visible et l’invisible</w:t>
      </w:r>
      <w:r>
        <w:rPr>
          <w:rFonts w:ascii="Times New Roman" w:eastAsia="Times New Roman" w:hAnsi="Times New Roman" w:cs="Times New Roman"/>
          <w:sz w:val="20"/>
          <w:szCs w:val="20"/>
        </w:rPr>
        <w:t>. Gallimard, 1964.</w:t>
      </w:r>
    </w:p>
  </w:footnote>
  <w:footnote w:id="33">
    <w:p w14:paraId="00000A2D" w14:textId="77777777" w:rsidR="004E766C"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iCs/>
          <w:sz w:val="20"/>
          <w:szCs w:val="20"/>
        </w:rPr>
        <w:t>Sebbah</w:t>
      </w:r>
      <w:proofErr w:type="spellEnd"/>
      <w:r>
        <w:rPr>
          <w:rFonts w:ascii="Times New Roman" w:eastAsia="Times New Roman" w:hAnsi="Times New Roman" w:cs="Times New Roman"/>
          <w:i/>
          <w:iCs/>
          <w:sz w:val="20"/>
          <w:szCs w:val="20"/>
        </w:rPr>
        <w:t>, François-David. Levinas et Merleau-Ponty. Hermann, 2023.</w:t>
      </w:r>
    </w:p>
  </w:footnote>
  <w:footnote w:id="34">
    <w:p w14:paraId="00000A30"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Spivak, Gayatri Chakravorty. « Can the </w:t>
      </w:r>
      <w:proofErr w:type="spellStart"/>
      <w:r>
        <w:rPr>
          <w:rFonts w:ascii="Times New Roman" w:eastAsia="Times New Roman" w:hAnsi="Times New Roman" w:cs="Times New Roman"/>
          <w:sz w:val="20"/>
          <w:szCs w:val="20"/>
        </w:rPr>
        <w:t>Subaltern</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Speak</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iCs/>
          <w:sz w:val="20"/>
          <w:szCs w:val="20"/>
        </w:rPr>
        <w:t>Marxism</w:t>
      </w:r>
      <w:proofErr w:type="spellEnd"/>
      <w:r>
        <w:rPr>
          <w:rFonts w:ascii="Times New Roman" w:eastAsia="Times New Roman" w:hAnsi="Times New Roman" w:cs="Times New Roman"/>
          <w:i/>
          <w:iCs/>
          <w:sz w:val="20"/>
          <w:szCs w:val="20"/>
        </w:rPr>
        <w:t xml:space="preserve"> and the </w:t>
      </w:r>
      <w:proofErr w:type="spellStart"/>
      <w:r>
        <w:rPr>
          <w:rFonts w:ascii="Times New Roman" w:eastAsia="Times New Roman" w:hAnsi="Times New Roman" w:cs="Times New Roman"/>
          <w:i/>
          <w:iCs/>
          <w:sz w:val="20"/>
          <w:szCs w:val="20"/>
        </w:rPr>
        <w:t>Interpretation</w:t>
      </w:r>
      <w:proofErr w:type="spellEnd"/>
      <w:r>
        <w:rPr>
          <w:rFonts w:ascii="Times New Roman" w:eastAsia="Times New Roman" w:hAnsi="Times New Roman" w:cs="Times New Roman"/>
          <w:i/>
          <w:iCs/>
          <w:sz w:val="20"/>
          <w:szCs w:val="20"/>
        </w:rPr>
        <w:t xml:space="preserve"> of Culture</w:t>
      </w:r>
      <w:r>
        <w:rPr>
          <w:rFonts w:ascii="Times New Roman" w:eastAsia="Times New Roman" w:hAnsi="Times New Roman" w:cs="Times New Roman"/>
          <w:sz w:val="20"/>
          <w:szCs w:val="20"/>
        </w:rPr>
        <w:t xml:space="preserve">, dirigé par Cary Nelson et Lawrence </w:t>
      </w:r>
      <w:proofErr w:type="spellStart"/>
      <w:r>
        <w:rPr>
          <w:rFonts w:ascii="Times New Roman" w:eastAsia="Times New Roman" w:hAnsi="Times New Roman" w:cs="Times New Roman"/>
          <w:sz w:val="20"/>
          <w:szCs w:val="20"/>
        </w:rPr>
        <w:t>Grossberg</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University</w:t>
      </w:r>
      <w:proofErr w:type="spellEnd"/>
      <w:r>
        <w:rPr>
          <w:rFonts w:ascii="Times New Roman" w:eastAsia="Times New Roman" w:hAnsi="Times New Roman" w:cs="Times New Roman"/>
          <w:sz w:val="20"/>
          <w:szCs w:val="20"/>
        </w:rPr>
        <w:t xml:space="preserve"> of Illinois </w:t>
      </w:r>
      <w:proofErr w:type="spellStart"/>
      <w:r>
        <w:rPr>
          <w:rFonts w:ascii="Times New Roman" w:eastAsia="Times New Roman" w:hAnsi="Times New Roman" w:cs="Times New Roman"/>
          <w:sz w:val="20"/>
          <w:szCs w:val="20"/>
        </w:rPr>
        <w:t>Press</w:t>
      </w:r>
      <w:proofErr w:type="spellEnd"/>
      <w:r>
        <w:rPr>
          <w:rFonts w:ascii="Times New Roman" w:eastAsia="Times New Roman" w:hAnsi="Times New Roman" w:cs="Times New Roman"/>
          <w:sz w:val="20"/>
          <w:szCs w:val="20"/>
        </w:rPr>
        <w:t>, 1988, pp. 271-313.</w:t>
      </w:r>
    </w:p>
  </w:footnote>
  <w:footnote w:id="35">
    <w:p w14:paraId="00000A31"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Mohanty, Chandra </w:t>
      </w:r>
      <w:proofErr w:type="spellStart"/>
      <w:r>
        <w:rPr>
          <w:rFonts w:ascii="Times New Roman" w:eastAsia="Times New Roman" w:hAnsi="Times New Roman" w:cs="Times New Roman"/>
          <w:sz w:val="20"/>
          <w:szCs w:val="20"/>
        </w:rPr>
        <w:t>Talpade</w:t>
      </w:r>
      <w:proofErr w:type="spellEnd"/>
      <w:r>
        <w:rPr>
          <w:rFonts w:ascii="Times New Roman" w:eastAsia="Times New Roman" w:hAnsi="Times New Roman" w:cs="Times New Roman"/>
          <w:sz w:val="20"/>
          <w:szCs w:val="20"/>
        </w:rPr>
        <w:t xml:space="preserve">. « Under Western </w:t>
      </w:r>
      <w:proofErr w:type="spellStart"/>
      <w:proofErr w:type="gramStart"/>
      <w:r>
        <w:rPr>
          <w:rFonts w:ascii="Times New Roman" w:eastAsia="Times New Roman" w:hAnsi="Times New Roman" w:cs="Times New Roman"/>
          <w:sz w:val="20"/>
          <w:szCs w:val="20"/>
        </w:rPr>
        <w:t>Eyes</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Feminist</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Scholarship</w:t>
      </w:r>
      <w:proofErr w:type="spellEnd"/>
      <w:r>
        <w:rPr>
          <w:rFonts w:ascii="Times New Roman" w:eastAsia="Times New Roman" w:hAnsi="Times New Roman" w:cs="Times New Roman"/>
          <w:sz w:val="20"/>
          <w:szCs w:val="20"/>
        </w:rPr>
        <w:t xml:space="preserve"> and Colonial </w:t>
      </w:r>
      <w:proofErr w:type="spellStart"/>
      <w:r>
        <w:rPr>
          <w:rFonts w:ascii="Times New Roman" w:eastAsia="Times New Roman" w:hAnsi="Times New Roman" w:cs="Times New Roman"/>
          <w:sz w:val="20"/>
          <w:szCs w:val="20"/>
        </w:rPr>
        <w:t>Discourses</w:t>
      </w:r>
      <w:proofErr w:type="spellEnd"/>
      <w:r>
        <w:rPr>
          <w:rFonts w:ascii="Times New Roman" w:eastAsia="Times New Roman" w:hAnsi="Times New Roman" w:cs="Times New Roman"/>
          <w:sz w:val="20"/>
          <w:szCs w:val="20"/>
        </w:rPr>
        <w:t xml:space="preserve"> ». </w:t>
      </w:r>
      <w:proofErr w:type="spellStart"/>
      <w:r>
        <w:rPr>
          <w:rFonts w:ascii="Times New Roman" w:eastAsia="Times New Roman" w:hAnsi="Times New Roman" w:cs="Times New Roman"/>
          <w:i/>
          <w:iCs/>
          <w:sz w:val="20"/>
          <w:szCs w:val="20"/>
        </w:rPr>
        <w:t>Boundary</w:t>
      </w:r>
      <w:proofErr w:type="spellEnd"/>
      <w:r>
        <w:rPr>
          <w:rFonts w:ascii="Times New Roman" w:eastAsia="Times New Roman" w:hAnsi="Times New Roman" w:cs="Times New Roman"/>
          <w:i/>
          <w:iCs/>
          <w:sz w:val="20"/>
          <w:szCs w:val="20"/>
        </w:rPr>
        <w:t xml:space="preserve"> 2</w:t>
      </w:r>
      <w:r>
        <w:rPr>
          <w:rFonts w:ascii="Times New Roman" w:eastAsia="Times New Roman" w:hAnsi="Times New Roman" w:cs="Times New Roman"/>
          <w:sz w:val="20"/>
          <w:szCs w:val="20"/>
        </w:rPr>
        <w:t>, vol. 12/13, 1984, pp. 333-358.</w:t>
      </w:r>
    </w:p>
  </w:footnote>
  <w:footnote w:id="36">
    <w:p w14:paraId="00000A32"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Collins, Patricia Hill. </w:t>
      </w:r>
      <w:r>
        <w:rPr>
          <w:rFonts w:ascii="Times New Roman" w:eastAsia="Times New Roman" w:hAnsi="Times New Roman" w:cs="Times New Roman"/>
          <w:i/>
          <w:iCs/>
          <w:sz w:val="20"/>
          <w:szCs w:val="20"/>
        </w:rPr>
        <w:t xml:space="preserve">Black </w:t>
      </w:r>
      <w:proofErr w:type="spellStart"/>
      <w:r>
        <w:rPr>
          <w:rFonts w:ascii="Times New Roman" w:eastAsia="Times New Roman" w:hAnsi="Times New Roman" w:cs="Times New Roman"/>
          <w:i/>
          <w:iCs/>
          <w:sz w:val="20"/>
          <w:szCs w:val="20"/>
        </w:rPr>
        <w:t>Feminist</w:t>
      </w:r>
      <w:proofErr w:type="spellEnd"/>
      <w:r>
        <w:rPr>
          <w:rFonts w:ascii="Times New Roman" w:eastAsia="Times New Roman" w:hAnsi="Times New Roman" w:cs="Times New Roman"/>
          <w:i/>
          <w:iCs/>
          <w:sz w:val="20"/>
          <w:szCs w:val="20"/>
        </w:rPr>
        <w:t xml:space="preserve"> </w:t>
      </w:r>
      <w:proofErr w:type="spellStart"/>
      <w:proofErr w:type="gramStart"/>
      <w:r>
        <w:rPr>
          <w:rFonts w:ascii="Times New Roman" w:eastAsia="Times New Roman" w:hAnsi="Times New Roman" w:cs="Times New Roman"/>
          <w:i/>
          <w:iCs/>
          <w:sz w:val="20"/>
          <w:szCs w:val="20"/>
        </w:rPr>
        <w:t>Thought</w:t>
      </w:r>
      <w:proofErr w:type="spellEnd"/>
      <w:r>
        <w:rPr>
          <w:rFonts w:ascii="Times New Roman" w:eastAsia="Times New Roman" w:hAnsi="Times New Roman" w:cs="Times New Roman"/>
          <w:i/>
          <w:iCs/>
          <w:sz w:val="20"/>
          <w:szCs w:val="20"/>
        </w:rPr>
        <w:t>:</w:t>
      </w:r>
      <w:proofErr w:type="gram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Knowledge</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Consciousness</w:t>
      </w:r>
      <w:proofErr w:type="spellEnd"/>
      <w:r>
        <w:rPr>
          <w:rFonts w:ascii="Times New Roman" w:eastAsia="Times New Roman" w:hAnsi="Times New Roman" w:cs="Times New Roman"/>
          <w:i/>
          <w:iCs/>
          <w:sz w:val="20"/>
          <w:szCs w:val="20"/>
        </w:rPr>
        <w:t xml:space="preserve">, and the </w:t>
      </w:r>
      <w:proofErr w:type="spellStart"/>
      <w:r>
        <w:rPr>
          <w:rFonts w:ascii="Times New Roman" w:eastAsia="Times New Roman" w:hAnsi="Times New Roman" w:cs="Times New Roman"/>
          <w:i/>
          <w:iCs/>
          <w:sz w:val="20"/>
          <w:szCs w:val="20"/>
        </w:rPr>
        <w:t>Politics</w:t>
      </w:r>
      <w:proofErr w:type="spellEnd"/>
      <w:r>
        <w:rPr>
          <w:rFonts w:ascii="Times New Roman" w:eastAsia="Times New Roman" w:hAnsi="Times New Roman" w:cs="Times New Roman"/>
          <w:i/>
          <w:iCs/>
          <w:sz w:val="20"/>
          <w:szCs w:val="20"/>
        </w:rPr>
        <w:t xml:space="preserve"> of </w:t>
      </w:r>
      <w:proofErr w:type="spellStart"/>
      <w:r>
        <w:rPr>
          <w:rFonts w:ascii="Times New Roman" w:eastAsia="Times New Roman" w:hAnsi="Times New Roman" w:cs="Times New Roman"/>
          <w:i/>
          <w:iCs/>
          <w:sz w:val="20"/>
          <w:szCs w:val="20"/>
        </w:rPr>
        <w:t>Empowerment</w:t>
      </w:r>
      <w:proofErr w:type="spellEnd"/>
      <w:r>
        <w:rPr>
          <w:rFonts w:ascii="Times New Roman" w:eastAsia="Times New Roman" w:hAnsi="Times New Roman" w:cs="Times New Roman"/>
          <w:sz w:val="20"/>
          <w:szCs w:val="20"/>
        </w:rPr>
        <w:t>. Routledge, 1990.</w:t>
      </w:r>
    </w:p>
  </w:footnote>
  <w:footnote w:id="37">
    <w:p w14:paraId="00000A33"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Ahmed Sara. </w:t>
      </w:r>
      <w:r>
        <w:rPr>
          <w:rFonts w:ascii="Times New Roman" w:eastAsia="Times New Roman" w:hAnsi="Times New Roman" w:cs="Times New Roman"/>
          <w:i/>
          <w:iCs/>
          <w:sz w:val="20"/>
          <w:szCs w:val="20"/>
        </w:rPr>
        <w:t xml:space="preserve">Strange </w:t>
      </w:r>
      <w:proofErr w:type="spellStart"/>
      <w:proofErr w:type="gramStart"/>
      <w:r>
        <w:rPr>
          <w:rFonts w:ascii="Times New Roman" w:eastAsia="Times New Roman" w:hAnsi="Times New Roman" w:cs="Times New Roman"/>
          <w:i/>
          <w:iCs/>
          <w:sz w:val="20"/>
          <w:szCs w:val="20"/>
        </w:rPr>
        <w:t>Encounters</w:t>
      </w:r>
      <w:proofErr w:type="spellEnd"/>
      <w:r>
        <w:rPr>
          <w:rFonts w:ascii="Times New Roman" w:eastAsia="Times New Roman" w:hAnsi="Times New Roman" w:cs="Times New Roman"/>
          <w:i/>
          <w:iCs/>
          <w:sz w:val="20"/>
          <w:szCs w:val="20"/>
        </w:rPr>
        <w:t>:</w:t>
      </w:r>
      <w:proofErr w:type="gram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Embodied</w:t>
      </w:r>
      <w:proofErr w:type="spellEnd"/>
      <w:r>
        <w:rPr>
          <w:rFonts w:ascii="Times New Roman" w:eastAsia="Times New Roman" w:hAnsi="Times New Roman" w:cs="Times New Roman"/>
          <w:i/>
          <w:iCs/>
          <w:sz w:val="20"/>
          <w:szCs w:val="20"/>
        </w:rPr>
        <w:t xml:space="preserve"> </w:t>
      </w:r>
      <w:proofErr w:type="spellStart"/>
      <w:r>
        <w:rPr>
          <w:rFonts w:ascii="Times New Roman" w:eastAsia="Times New Roman" w:hAnsi="Times New Roman" w:cs="Times New Roman"/>
          <w:i/>
          <w:iCs/>
          <w:sz w:val="20"/>
          <w:szCs w:val="20"/>
        </w:rPr>
        <w:t>Others</w:t>
      </w:r>
      <w:proofErr w:type="spellEnd"/>
      <w:r>
        <w:rPr>
          <w:rFonts w:ascii="Times New Roman" w:eastAsia="Times New Roman" w:hAnsi="Times New Roman" w:cs="Times New Roman"/>
          <w:i/>
          <w:iCs/>
          <w:sz w:val="20"/>
          <w:szCs w:val="20"/>
        </w:rPr>
        <w:t xml:space="preserve"> in Post-</w:t>
      </w:r>
      <w:proofErr w:type="spellStart"/>
      <w:r>
        <w:rPr>
          <w:rFonts w:ascii="Times New Roman" w:eastAsia="Times New Roman" w:hAnsi="Times New Roman" w:cs="Times New Roman"/>
          <w:i/>
          <w:iCs/>
          <w:sz w:val="20"/>
          <w:szCs w:val="20"/>
        </w:rPr>
        <w:t>Coloniality</w:t>
      </w:r>
      <w:proofErr w:type="spellEnd"/>
      <w:r>
        <w:rPr>
          <w:rFonts w:ascii="Times New Roman" w:eastAsia="Times New Roman" w:hAnsi="Times New Roman" w:cs="Times New Roman"/>
          <w:sz w:val="20"/>
          <w:szCs w:val="20"/>
        </w:rPr>
        <w:t>, Londres, Routledge, 2000.</w:t>
      </w:r>
    </w:p>
  </w:footnote>
  <w:footnote w:id="38">
    <w:p w14:paraId="00000A2B"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Labainville</w:t>
      </w:r>
      <w:proofErr w:type="spellEnd"/>
      <w:r>
        <w:rPr>
          <w:rFonts w:ascii="Times New Roman" w:eastAsia="Times New Roman" w:hAnsi="Times New Roman" w:cs="Times New Roman"/>
          <w:sz w:val="20"/>
          <w:szCs w:val="20"/>
        </w:rPr>
        <w:t xml:space="preserve">, I. (2025). « Le syndrome méditerranéen : les ressorts d’une catégorie </w:t>
      </w:r>
      <w:proofErr w:type="spellStart"/>
      <w:r>
        <w:rPr>
          <w:rFonts w:ascii="Times New Roman" w:eastAsia="Times New Roman" w:hAnsi="Times New Roman" w:cs="Times New Roman"/>
          <w:sz w:val="20"/>
          <w:szCs w:val="20"/>
        </w:rPr>
        <w:t>racialisante</w:t>
      </w:r>
      <w:proofErr w:type="spellEnd"/>
      <w:r>
        <w:rPr>
          <w:rFonts w:ascii="Times New Roman" w:eastAsia="Times New Roman" w:hAnsi="Times New Roman" w:cs="Times New Roman"/>
          <w:sz w:val="20"/>
          <w:szCs w:val="20"/>
        </w:rPr>
        <w:t xml:space="preserve"> à l’hôpital ». </w:t>
      </w:r>
      <w:r>
        <w:rPr>
          <w:rFonts w:ascii="Times New Roman" w:eastAsia="Times New Roman" w:hAnsi="Times New Roman" w:cs="Times New Roman"/>
          <w:i/>
          <w:iCs/>
          <w:sz w:val="20"/>
          <w:szCs w:val="20"/>
        </w:rPr>
        <w:t>Genèses</w:t>
      </w:r>
      <w:r>
        <w:rPr>
          <w:rFonts w:ascii="Times New Roman" w:eastAsia="Times New Roman" w:hAnsi="Times New Roman" w:cs="Times New Roman"/>
          <w:sz w:val="20"/>
          <w:szCs w:val="20"/>
        </w:rPr>
        <w:t>, 138(1), 14-36.</w:t>
      </w:r>
    </w:p>
  </w:footnote>
  <w:footnote w:id="39">
    <w:p w14:paraId="00000A2C"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Serment d’Hippocrate revu par l’ordre des médecins en 2012</w:t>
      </w:r>
    </w:p>
  </w:footnote>
  <w:footnote w:id="40">
    <w:p w14:paraId="00000A36"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sz w:val="20"/>
          <w:szCs w:val="20"/>
        </w:rPr>
        <w:t>Alessandrin</w:t>
      </w:r>
      <w:proofErr w:type="spellEnd"/>
      <w:r>
        <w:rPr>
          <w:rFonts w:ascii="Times New Roman" w:eastAsia="Times New Roman" w:hAnsi="Times New Roman" w:cs="Times New Roman"/>
          <w:sz w:val="20"/>
          <w:szCs w:val="20"/>
        </w:rPr>
        <w:t xml:space="preserve">, Arnaud. « L'expérience du genre : ce que nous apprennent les transidentités ». </w:t>
      </w:r>
      <w:r>
        <w:rPr>
          <w:rFonts w:ascii="Times New Roman" w:eastAsia="Times New Roman" w:hAnsi="Times New Roman" w:cs="Times New Roman"/>
          <w:i/>
          <w:iCs/>
          <w:sz w:val="20"/>
          <w:szCs w:val="20"/>
        </w:rPr>
        <w:t>Sexe &amp; genre</w:t>
      </w:r>
      <w:r>
        <w:rPr>
          <w:rFonts w:ascii="Times New Roman" w:eastAsia="Times New Roman" w:hAnsi="Times New Roman" w:cs="Times New Roman"/>
          <w:sz w:val="20"/>
          <w:szCs w:val="20"/>
        </w:rPr>
        <w:t>, dirigé par Anne-Charlotte Husson et al., Presses Universitaires de Lyon, 2019.</w:t>
      </w:r>
    </w:p>
  </w:footnote>
  <w:footnote w:id="41">
    <w:p w14:paraId="00000A35"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Alain Blanchet et Anne </w:t>
      </w:r>
      <w:proofErr w:type="spellStart"/>
      <w:r>
        <w:rPr>
          <w:rFonts w:ascii="Times New Roman" w:eastAsia="Times New Roman" w:hAnsi="Times New Roman" w:cs="Times New Roman"/>
          <w:sz w:val="20"/>
          <w:szCs w:val="20"/>
        </w:rPr>
        <w:t>Gotman</w:t>
      </w:r>
      <w:proofErr w:type="spellEnd"/>
      <w:r>
        <w:rPr>
          <w:rFonts w:ascii="Times New Roman" w:eastAsia="Times New Roman" w:hAnsi="Times New Roman" w:cs="Times New Roman"/>
          <w:sz w:val="20"/>
          <w:szCs w:val="20"/>
        </w:rPr>
        <w:t>, « L’enquête et ses méthodes : l’entretien », in François de Singly (</w:t>
      </w:r>
      <w:proofErr w:type="spellStart"/>
      <w:r>
        <w:rPr>
          <w:rFonts w:ascii="Times New Roman" w:eastAsia="Times New Roman" w:hAnsi="Times New Roman" w:cs="Times New Roman"/>
          <w:sz w:val="20"/>
          <w:szCs w:val="20"/>
        </w:rPr>
        <w:t>dir</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i/>
          <w:iCs/>
          <w:sz w:val="20"/>
          <w:szCs w:val="20"/>
        </w:rPr>
        <w:t>L’enquête et ses méthodes</w:t>
      </w:r>
      <w:r>
        <w:rPr>
          <w:rFonts w:ascii="Times New Roman" w:eastAsia="Times New Roman" w:hAnsi="Times New Roman" w:cs="Times New Roman"/>
          <w:sz w:val="20"/>
          <w:szCs w:val="20"/>
        </w:rPr>
        <w:t>, Paris, Armand Colin, 2007.</w:t>
      </w:r>
    </w:p>
  </w:footnote>
  <w:footnote w:id="42">
    <w:p w14:paraId="000009F0"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9, entretien avec Cléa JURY, assistante sociale</w:t>
      </w:r>
    </w:p>
  </w:footnote>
  <w:footnote w:id="43">
    <w:p w14:paraId="000009F1"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Voir Annexe 5, entretien avec “Jessica”</w:t>
      </w:r>
    </w:p>
  </w:footnote>
  <w:footnote w:id="44">
    <w:p w14:paraId="000009F2"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Voir Annexe 8, entretien avec Carlotta BELLIN, éducatrice spécialisée </w:t>
      </w:r>
    </w:p>
  </w:footnote>
  <w:footnote w:id="45">
    <w:p w14:paraId="00000A1F"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Voir Annexe 6, entretien avec Cloé TASSARA, juriste</w:t>
      </w:r>
    </w:p>
  </w:footnote>
  <w:footnote w:id="46">
    <w:p w14:paraId="00000A20"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Voir Annexe 7, entretien avec Neige DAMIZET, juriste </w:t>
      </w:r>
    </w:p>
  </w:footnote>
  <w:footnote w:id="47">
    <w:p w14:paraId="00000A07"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Prénom anonymisé</w:t>
      </w:r>
    </w:p>
  </w:footnote>
  <w:footnote w:id="48">
    <w:p w14:paraId="00000A21"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Voir Annexe 5, entretien avec Jessica bénéficiaire de la MDF</w:t>
      </w:r>
    </w:p>
  </w:footnote>
  <w:footnote w:id="49">
    <w:p w14:paraId="00000A08"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Voir Annexe 7, entretien avec Neige DAMIZET, juriste </w:t>
      </w:r>
    </w:p>
  </w:footnote>
  <w:footnote w:id="50">
    <w:p w14:paraId="00000A09"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Annexe 7, entretien Neige DAMIZET, juriste  </w:t>
      </w:r>
    </w:p>
  </w:footnote>
  <w:footnote w:id="51">
    <w:p w14:paraId="00000A0B"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Annexe 6, entretien avec Cloé TASSARA, juriste </w:t>
      </w:r>
    </w:p>
  </w:footnote>
  <w:footnote w:id="52">
    <w:p w14:paraId="000009F3" w14:textId="77777777" w:rsidR="004E766C" w:rsidRDefault="00000000">
      <w:pPr>
        <w:spacing w:line="240" w:lineRule="auto"/>
        <w:rPr>
          <w:rFonts w:ascii="Times New Roman" w:eastAsia="Times New Roman" w:hAnsi="Times New Roman" w:cs="Times New Roman"/>
          <w:i/>
          <w:iCs/>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iCs/>
          <w:sz w:val="20"/>
          <w:szCs w:val="20"/>
        </w:rPr>
        <w:t>Ibid</w:t>
      </w:r>
      <w:proofErr w:type="spellEnd"/>
    </w:p>
  </w:footnote>
  <w:footnote w:id="53">
    <w:p w14:paraId="000009F4" w14:textId="77777777" w:rsidR="004E766C" w:rsidRDefault="00000000">
      <w:pPr>
        <w:spacing w:line="240" w:lineRule="auto"/>
        <w:rPr>
          <w:sz w:val="20"/>
          <w:szCs w:val="20"/>
        </w:rPr>
      </w:pPr>
      <w:r>
        <w:rPr>
          <w:vertAlign w:val="superscript"/>
        </w:rPr>
        <w:footnoteRef/>
      </w:r>
      <w:r>
        <w:rPr>
          <w:sz w:val="20"/>
          <w:szCs w:val="20"/>
        </w:rPr>
        <w:t xml:space="preserve"> </w:t>
      </w:r>
      <w:proofErr w:type="spellStart"/>
      <w:r>
        <w:rPr>
          <w:rFonts w:ascii="Times New Roman" w:eastAsia="Times New Roman" w:hAnsi="Times New Roman" w:cs="Times New Roman"/>
          <w:i/>
          <w:iCs/>
          <w:sz w:val="20"/>
          <w:szCs w:val="20"/>
        </w:rPr>
        <w:t>Ibid</w:t>
      </w:r>
      <w:proofErr w:type="spellEnd"/>
      <w:r>
        <w:rPr>
          <w:sz w:val="20"/>
          <w:szCs w:val="20"/>
        </w:rPr>
        <w:t xml:space="preserve"> </w:t>
      </w:r>
    </w:p>
  </w:footnote>
  <w:footnote w:id="54">
    <w:p w14:paraId="00000A0C"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Annexe 6, entretien avec Cloé TASSARA, juriste </w:t>
      </w:r>
    </w:p>
  </w:footnote>
  <w:footnote w:id="55">
    <w:p w14:paraId="00000A23"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Annexe 9, entretien avec Cléa JURY, assistante sociale</w:t>
      </w:r>
    </w:p>
  </w:footnote>
  <w:footnote w:id="56">
    <w:p w14:paraId="00000A22" w14:textId="77777777" w:rsidR="004E766C" w:rsidRDefault="00000000">
      <w:pPr>
        <w:spacing w:line="240" w:lineRule="auto"/>
        <w:rPr>
          <w:rFonts w:ascii="Times New Roman" w:eastAsia="Times New Roman" w:hAnsi="Times New Roman" w:cs="Times New Roman"/>
          <w:i/>
          <w:iCs/>
          <w:sz w:val="20"/>
          <w:szCs w:val="20"/>
        </w:rPr>
      </w:pPr>
      <w:r>
        <w:rPr>
          <w:vertAlign w:val="superscript"/>
        </w:rPr>
        <w:footnoteRef/>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i/>
          <w:iCs/>
          <w:sz w:val="20"/>
          <w:szCs w:val="20"/>
        </w:rPr>
        <w:t>Ibid</w:t>
      </w:r>
      <w:proofErr w:type="spellEnd"/>
    </w:p>
  </w:footnote>
  <w:footnote w:id="57">
    <w:p w14:paraId="00000A24"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Annexe </w:t>
      </w:r>
      <w:proofErr w:type="gramStart"/>
      <w:r>
        <w:rPr>
          <w:rFonts w:ascii="Times New Roman" w:eastAsia="Times New Roman" w:hAnsi="Times New Roman" w:cs="Times New Roman"/>
          <w:sz w:val="20"/>
          <w:szCs w:val="20"/>
        </w:rPr>
        <w:t>8,  entretien</w:t>
      </w:r>
      <w:proofErr w:type="gramEnd"/>
      <w:r>
        <w:rPr>
          <w:rFonts w:ascii="Times New Roman" w:eastAsia="Times New Roman" w:hAnsi="Times New Roman" w:cs="Times New Roman"/>
          <w:sz w:val="20"/>
          <w:szCs w:val="20"/>
        </w:rPr>
        <w:t xml:space="preserve"> avec Carlotta BELLIN, éducatrice spécialisée</w:t>
      </w:r>
    </w:p>
  </w:footnote>
  <w:footnote w:id="58">
    <w:p w14:paraId="00000A25"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Annexe 9, entretien avec Cléa JURY, assistante sociale</w:t>
      </w:r>
    </w:p>
  </w:footnote>
  <w:footnote w:id="59">
    <w:p w14:paraId="00000A26"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Annexe 6, entretien avec Cloé TASSARA, juriste </w:t>
      </w:r>
    </w:p>
  </w:footnote>
  <w:footnote w:id="60">
    <w:p w14:paraId="00000A15"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rFonts w:ascii="Times New Roman" w:eastAsia="Times New Roman" w:hAnsi="Times New Roman" w:cs="Times New Roman"/>
          <w:sz w:val="20"/>
          <w:szCs w:val="20"/>
        </w:rPr>
        <w:t>, observations</w:t>
      </w:r>
    </w:p>
  </w:footnote>
  <w:footnote w:id="61">
    <w:p w14:paraId="00000A16"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n°4</w:t>
      </w:r>
      <w:r>
        <w:rPr>
          <w:sz w:val="20"/>
          <w:szCs w:val="20"/>
        </w:rPr>
        <w:t xml:space="preserve">, </w:t>
      </w:r>
      <w:r>
        <w:rPr>
          <w:rFonts w:ascii="Times New Roman" w:eastAsia="Times New Roman" w:hAnsi="Times New Roman" w:cs="Times New Roman"/>
          <w:sz w:val="20"/>
          <w:szCs w:val="20"/>
        </w:rPr>
        <w:t>entretien avec Alison</w:t>
      </w:r>
    </w:p>
  </w:footnote>
  <w:footnote w:id="62">
    <w:p w14:paraId="00000A17"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n°5, entretien avec Jessica</w:t>
      </w:r>
    </w:p>
  </w:footnote>
  <w:footnote w:id="63">
    <w:p w14:paraId="00000A18"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rFonts w:ascii="Times New Roman" w:eastAsia="Times New Roman" w:hAnsi="Times New Roman" w:cs="Times New Roman"/>
          <w:sz w:val="20"/>
          <w:szCs w:val="20"/>
        </w:rPr>
        <w:t xml:space="preserve">, entretien avec Stéphanie </w:t>
      </w:r>
      <w:proofErr w:type="spellStart"/>
      <w:r>
        <w:rPr>
          <w:rFonts w:ascii="Times New Roman" w:eastAsia="Times New Roman" w:hAnsi="Times New Roman" w:cs="Times New Roman"/>
          <w:sz w:val="20"/>
          <w:szCs w:val="20"/>
        </w:rPr>
        <w:t>Gaudillat</w:t>
      </w:r>
      <w:proofErr w:type="spellEnd"/>
    </w:p>
  </w:footnote>
  <w:footnote w:id="64">
    <w:p w14:paraId="00000A19"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Voir annexe n°8, entretien Carlotta </w:t>
      </w:r>
      <w:proofErr w:type="spellStart"/>
      <w:r>
        <w:rPr>
          <w:rFonts w:ascii="Times New Roman" w:eastAsia="Times New Roman" w:hAnsi="Times New Roman" w:cs="Times New Roman"/>
          <w:sz w:val="20"/>
          <w:szCs w:val="20"/>
        </w:rPr>
        <w:t>Bellin</w:t>
      </w:r>
      <w:proofErr w:type="spellEnd"/>
      <w:r>
        <w:rPr>
          <w:rFonts w:ascii="Times New Roman" w:eastAsia="Times New Roman" w:hAnsi="Times New Roman" w:cs="Times New Roman"/>
          <w:sz w:val="20"/>
          <w:szCs w:val="20"/>
        </w:rPr>
        <w:t xml:space="preserve">, travailleuse sociale </w:t>
      </w:r>
    </w:p>
  </w:footnote>
  <w:footnote w:id="65">
    <w:p w14:paraId="00000A1A" w14:textId="77777777" w:rsidR="004E766C" w:rsidRDefault="0000000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sz w:val="20"/>
          <w:szCs w:val="20"/>
        </w:rPr>
        <w:t xml:space="preserve">, </w:t>
      </w:r>
      <w:r>
        <w:rPr>
          <w:rFonts w:ascii="Times New Roman" w:eastAsia="Times New Roman" w:hAnsi="Times New Roman" w:cs="Times New Roman"/>
          <w:sz w:val="20"/>
          <w:szCs w:val="20"/>
        </w:rPr>
        <w:t xml:space="preserve">entretien avec Gwenaëlle Ferré, cofondatrice du Centre de santé communautaire </w:t>
      </w:r>
      <w:r>
        <w:rPr>
          <w:rFonts w:ascii="Times New Roman" w:eastAsia="Times New Roman" w:hAnsi="Times New Roman" w:cs="Times New Roman"/>
          <w:i/>
          <w:iCs/>
          <w:sz w:val="20"/>
          <w:szCs w:val="20"/>
        </w:rPr>
        <w:t>Le Jardin</w:t>
      </w:r>
    </w:p>
  </w:footnote>
  <w:footnote w:id="66">
    <w:p w14:paraId="00000A1B"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rFonts w:ascii="Times New Roman" w:eastAsia="Times New Roman" w:hAnsi="Times New Roman" w:cs="Times New Roman"/>
          <w:sz w:val="20"/>
          <w:szCs w:val="20"/>
        </w:rPr>
        <w:t xml:space="preserve">, observations </w:t>
      </w:r>
    </w:p>
  </w:footnote>
  <w:footnote w:id="67">
    <w:p w14:paraId="00000A1C"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rFonts w:ascii="Times New Roman" w:eastAsia="Times New Roman" w:hAnsi="Times New Roman" w:cs="Times New Roman"/>
          <w:sz w:val="20"/>
          <w:szCs w:val="20"/>
        </w:rPr>
        <w:t>, Les Subsistances, Rencontre sublime “Le refuge et l’hospitalité”</w:t>
      </w:r>
    </w:p>
  </w:footnote>
  <w:footnote w:id="68">
    <w:p w14:paraId="00000A1D"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w:t>
      </w:r>
      <w:proofErr w:type="spellStart"/>
      <w:r>
        <w:rPr>
          <w:rFonts w:ascii="Times New Roman" w:eastAsia="Times New Roman" w:hAnsi="Times New Roman" w:cs="Times New Roman"/>
          <w:sz w:val="20"/>
          <w:szCs w:val="20"/>
        </w:rPr>
        <w:t>n°x</w:t>
      </w:r>
      <w:proofErr w:type="spellEnd"/>
      <w:r>
        <w:rPr>
          <w:rFonts w:ascii="Times New Roman" w:eastAsia="Times New Roman" w:hAnsi="Times New Roman" w:cs="Times New Roman"/>
          <w:sz w:val="20"/>
          <w:szCs w:val="20"/>
        </w:rPr>
        <w:t>, observations</w:t>
      </w:r>
    </w:p>
  </w:footnote>
  <w:footnote w:id="69">
    <w:p w14:paraId="00000A1E"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Voir annexe n°12, entretien avec Gwenaëlle Ferré, cofondatrice du Centre de santé communautaire </w:t>
      </w:r>
      <w:r>
        <w:rPr>
          <w:rFonts w:ascii="Times New Roman" w:eastAsia="Times New Roman" w:hAnsi="Times New Roman" w:cs="Times New Roman"/>
          <w:i/>
          <w:iCs/>
          <w:sz w:val="20"/>
          <w:szCs w:val="20"/>
        </w:rPr>
        <w:t>Le Jardin</w:t>
      </w:r>
    </w:p>
  </w:footnote>
  <w:footnote w:id="70">
    <w:p w14:paraId="00000A05"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Kelly, Liz. « Le continuum de la violence sexuelle ». Sociologie. </w:t>
      </w:r>
      <w:r>
        <w:rPr>
          <w:rFonts w:ascii="Times New Roman" w:eastAsia="Times New Roman" w:hAnsi="Times New Roman" w:cs="Times New Roman"/>
          <w:i/>
          <w:iCs/>
          <w:sz w:val="20"/>
          <w:szCs w:val="20"/>
        </w:rPr>
        <w:t>Cahiers du Genre</w:t>
      </w:r>
      <w:r>
        <w:rPr>
          <w:rFonts w:ascii="Times New Roman" w:eastAsia="Times New Roman" w:hAnsi="Times New Roman" w:cs="Times New Roman"/>
          <w:sz w:val="20"/>
          <w:szCs w:val="20"/>
        </w:rPr>
        <w:t xml:space="preserve"> 66, n</w:t>
      </w:r>
      <w:r>
        <w:rPr>
          <w:rFonts w:ascii="Times New Roman" w:eastAsia="Times New Roman" w:hAnsi="Times New Roman" w:cs="Times New Roman"/>
          <w:sz w:val="20"/>
          <w:szCs w:val="20"/>
          <w:vertAlign w:val="superscript"/>
        </w:rPr>
        <w:t>o</w:t>
      </w:r>
      <w:r>
        <w:rPr>
          <w:rFonts w:ascii="Times New Roman" w:eastAsia="Times New Roman" w:hAnsi="Times New Roman" w:cs="Times New Roman"/>
          <w:sz w:val="20"/>
          <w:szCs w:val="20"/>
        </w:rPr>
        <w:t xml:space="preserve"> 1 (2019</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17‑36. </w:t>
      </w:r>
    </w:p>
  </w:footnote>
  <w:footnote w:id="71">
    <w:p w14:paraId="00000A0D" w14:textId="77777777" w:rsidR="004E766C" w:rsidRDefault="0000000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 « FÉMINISME : Définition de FÉMINISME ». Consulté le 9 mars 2026. </w:t>
      </w:r>
    </w:p>
  </w:footnote>
  <w:footnote w:id="72">
    <w:p w14:paraId="00000A03" w14:textId="77777777" w:rsidR="004E766C" w:rsidRDefault="0000000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Prénom anonymisé</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034BA" w14:textId="77777777" w:rsidR="00A4465B" w:rsidRDefault="00A4465B">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8" w14:textId="77777777" w:rsidR="004E766C" w:rsidRDefault="004E766C">
    <w:pPr>
      <w:rPr>
        <w:rFonts w:ascii="Times New Roman" w:eastAsia="Times New Roman" w:hAnsi="Times New Roman" w:cs="Times New Roman"/>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A39" w14:textId="77777777" w:rsidR="004E766C" w:rsidRDefault="004E766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24539"/>
    <w:multiLevelType w:val="multilevel"/>
    <w:tmpl w:val="DD5A77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1BA6785"/>
    <w:multiLevelType w:val="multilevel"/>
    <w:tmpl w:val="691E340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1D60B38"/>
    <w:multiLevelType w:val="multilevel"/>
    <w:tmpl w:val="4EE059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8E0265D"/>
    <w:multiLevelType w:val="multilevel"/>
    <w:tmpl w:val="DC36C0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A0C0E2F"/>
    <w:multiLevelType w:val="multilevel"/>
    <w:tmpl w:val="91480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A1B5C41"/>
    <w:multiLevelType w:val="multilevel"/>
    <w:tmpl w:val="C5D073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18375B"/>
    <w:multiLevelType w:val="multilevel"/>
    <w:tmpl w:val="CBF864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E87000"/>
    <w:multiLevelType w:val="multilevel"/>
    <w:tmpl w:val="E63AC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0222C53"/>
    <w:multiLevelType w:val="multilevel"/>
    <w:tmpl w:val="65BEB6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0E37B44"/>
    <w:multiLevelType w:val="multilevel"/>
    <w:tmpl w:val="81C49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850183"/>
    <w:multiLevelType w:val="multilevel"/>
    <w:tmpl w:val="36C0D4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7EE313A"/>
    <w:multiLevelType w:val="multilevel"/>
    <w:tmpl w:val="5720F2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D8A726C"/>
    <w:multiLevelType w:val="multilevel"/>
    <w:tmpl w:val="B854FF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DA87A7B"/>
    <w:multiLevelType w:val="multilevel"/>
    <w:tmpl w:val="398AC66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D92A29"/>
    <w:multiLevelType w:val="multilevel"/>
    <w:tmpl w:val="4C220D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3B33C70"/>
    <w:multiLevelType w:val="multilevel"/>
    <w:tmpl w:val="C9183F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4214CC7"/>
    <w:multiLevelType w:val="multilevel"/>
    <w:tmpl w:val="803268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A635051"/>
    <w:multiLevelType w:val="multilevel"/>
    <w:tmpl w:val="13723C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B749CC"/>
    <w:multiLevelType w:val="multilevel"/>
    <w:tmpl w:val="D4C4199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D2B1888"/>
    <w:multiLevelType w:val="multilevel"/>
    <w:tmpl w:val="BCC41C30"/>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0" w15:restartNumberingAfterBreak="0">
    <w:nsid w:val="2DCB09DA"/>
    <w:multiLevelType w:val="multilevel"/>
    <w:tmpl w:val="57642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E0A6431"/>
    <w:multiLevelType w:val="multilevel"/>
    <w:tmpl w:val="FCE442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E8D1F25"/>
    <w:multiLevelType w:val="multilevel"/>
    <w:tmpl w:val="10026E3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05E547D"/>
    <w:multiLevelType w:val="multilevel"/>
    <w:tmpl w:val="284E90D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07A65F8"/>
    <w:multiLevelType w:val="multilevel"/>
    <w:tmpl w:val="36EA3924"/>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2285FE3"/>
    <w:multiLevelType w:val="multilevel"/>
    <w:tmpl w:val="8F5E95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2CA30AA"/>
    <w:multiLevelType w:val="multilevel"/>
    <w:tmpl w:val="711240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7DE782A"/>
    <w:multiLevelType w:val="multilevel"/>
    <w:tmpl w:val="5E9E5458"/>
    <w:lvl w:ilvl="0">
      <w:start w:val="1"/>
      <w:numFmt w:val="decimal"/>
      <w:lvlText w:val="%1."/>
      <w:lvlJc w:val="left"/>
      <w:pPr>
        <w:ind w:left="566" w:hanging="359"/>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9A77A1C"/>
    <w:multiLevelType w:val="multilevel"/>
    <w:tmpl w:val="95F69E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C177A29"/>
    <w:multiLevelType w:val="multilevel"/>
    <w:tmpl w:val="73C25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1E70505"/>
    <w:multiLevelType w:val="multilevel"/>
    <w:tmpl w:val="751669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422B31DE"/>
    <w:multiLevelType w:val="multilevel"/>
    <w:tmpl w:val="8968C8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21600C"/>
    <w:multiLevelType w:val="multilevel"/>
    <w:tmpl w:val="E92609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4BB92E39"/>
    <w:multiLevelType w:val="multilevel"/>
    <w:tmpl w:val="10E6BB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DA57188"/>
    <w:multiLevelType w:val="multilevel"/>
    <w:tmpl w:val="90F44A4E"/>
    <w:lvl w:ilvl="0">
      <w:start w:val="1"/>
      <w:numFmt w:val="decimalZero"/>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F7508B9"/>
    <w:multiLevelType w:val="multilevel"/>
    <w:tmpl w:val="CA48BD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FE434DD"/>
    <w:multiLevelType w:val="multilevel"/>
    <w:tmpl w:val="6622BC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1317997"/>
    <w:multiLevelType w:val="multilevel"/>
    <w:tmpl w:val="E72651E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8" w15:restartNumberingAfterBreak="0">
    <w:nsid w:val="52485E88"/>
    <w:multiLevelType w:val="multilevel"/>
    <w:tmpl w:val="8828C63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38677FC"/>
    <w:multiLevelType w:val="multilevel"/>
    <w:tmpl w:val="83389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84A44FD"/>
    <w:multiLevelType w:val="multilevel"/>
    <w:tmpl w:val="C5F0262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89F0A3F"/>
    <w:multiLevelType w:val="multilevel"/>
    <w:tmpl w:val="69D0C3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E215033"/>
    <w:multiLevelType w:val="multilevel"/>
    <w:tmpl w:val="EB4C7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E786491"/>
    <w:multiLevelType w:val="multilevel"/>
    <w:tmpl w:val="CAF6DF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0AA2B61"/>
    <w:multiLevelType w:val="multilevel"/>
    <w:tmpl w:val="C1CE9B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1123802"/>
    <w:multiLevelType w:val="multilevel"/>
    <w:tmpl w:val="B352CD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1292E93"/>
    <w:multiLevelType w:val="multilevel"/>
    <w:tmpl w:val="E21001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63190951"/>
    <w:multiLevelType w:val="multilevel"/>
    <w:tmpl w:val="58762C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3CB230A"/>
    <w:multiLevelType w:val="multilevel"/>
    <w:tmpl w:val="D9960C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60B067C"/>
    <w:multiLevelType w:val="multilevel"/>
    <w:tmpl w:val="DFF670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6580F91"/>
    <w:multiLevelType w:val="multilevel"/>
    <w:tmpl w:val="A902646E"/>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69E11BFD"/>
    <w:multiLevelType w:val="multilevel"/>
    <w:tmpl w:val="FF1EBF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C92797D"/>
    <w:multiLevelType w:val="multilevel"/>
    <w:tmpl w:val="03C293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6CAE0D06"/>
    <w:multiLevelType w:val="multilevel"/>
    <w:tmpl w:val="8C669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CD323EA"/>
    <w:multiLevelType w:val="multilevel"/>
    <w:tmpl w:val="FDF2DC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E730813"/>
    <w:multiLevelType w:val="multilevel"/>
    <w:tmpl w:val="C63A47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1CC5D7F"/>
    <w:multiLevelType w:val="multilevel"/>
    <w:tmpl w:val="37E6EA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7" w15:restartNumberingAfterBreak="0">
    <w:nsid w:val="7A3F203B"/>
    <w:multiLevelType w:val="multilevel"/>
    <w:tmpl w:val="6C22C5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7C9F23ED"/>
    <w:multiLevelType w:val="multilevel"/>
    <w:tmpl w:val="C49065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74890802">
    <w:abstractNumId w:val="32"/>
  </w:num>
  <w:num w:numId="2" w16cid:durableId="1982344375">
    <w:abstractNumId w:val="17"/>
  </w:num>
  <w:num w:numId="3" w16cid:durableId="224145315">
    <w:abstractNumId w:val="5"/>
  </w:num>
  <w:num w:numId="4" w16cid:durableId="990716163">
    <w:abstractNumId w:val="44"/>
  </w:num>
  <w:num w:numId="5" w16cid:durableId="1815490104">
    <w:abstractNumId w:val="51"/>
  </w:num>
  <w:num w:numId="6" w16cid:durableId="719406693">
    <w:abstractNumId w:val="14"/>
  </w:num>
  <w:num w:numId="7" w16cid:durableId="1485854027">
    <w:abstractNumId w:val="55"/>
  </w:num>
  <w:num w:numId="8" w16cid:durableId="1607276010">
    <w:abstractNumId w:val="45"/>
  </w:num>
  <w:num w:numId="9" w16cid:durableId="2042626420">
    <w:abstractNumId w:val="9"/>
  </w:num>
  <w:num w:numId="10" w16cid:durableId="1852991692">
    <w:abstractNumId w:val="26"/>
  </w:num>
  <w:num w:numId="11" w16cid:durableId="1001851742">
    <w:abstractNumId w:val="42"/>
  </w:num>
  <w:num w:numId="12" w16cid:durableId="2102021224">
    <w:abstractNumId w:val="23"/>
  </w:num>
  <w:num w:numId="13" w16cid:durableId="571232803">
    <w:abstractNumId w:val="2"/>
  </w:num>
  <w:num w:numId="14" w16cid:durableId="1627811853">
    <w:abstractNumId w:val="47"/>
  </w:num>
  <w:num w:numId="15" w16cid:durableId="572161869">
    <w:abstractNumId w:val="19"/>
  </w:num>
  <w:num w:numId="16" w16cid:durableId="782654310">
    <w:abstractNumId w:val="25"/>
  </w:num>
  <w:num w:numId="17" w16cid:durableId="1659649797">
    <w:abstractNumId w:val="13"/>
  </w:num>
  <w:num w:numId="18" w16cid:durableId="1830902863">
    <w:abstractNumId w:val="15"/>
  </w:num>
  <w:num w:numId="19" w16cid:durableId="660502557">
    <w:abstractNumId w:val="3"/>
  </w:num>
  <w:num w:numId="20" w16cid:durableId="146677710">
    <w:abstractNumId w:val="8"/>
  </w:num>
  <w:num w:numId="21" w16cid:durableId="1228883845">
    <w:abstractNumId w:val="37"/>
  </w:num>
  <w:num w:numId="22" w16cid:durableId="1497726710">
    <w:abstractNumId w:val="20"/>
  </w:num>
  <w:num w:numId="23" w16cid:durableId="1336419779">
    <w:abstractNumId w:val="58"/>
  </w:num>
  <w:num w:numId="24" w16cid:durableId="1092169390">
    <w:abstractNumId w:val="57"/>
  </w:num>
  <w:num w:numId="25" w16cid:durableId="743992351">
    <w:abstractNumId w:val="18"/>
  </w:num>
  <w:num w:numId="26" w16cid:durableId="1009137138">
    <w:abstractNumId w:val="30"/>
  </w:num>
  <w:num w:numId="27" w16cid:durableId="996153153">
    <w:abstractNumId w:val="46"/>
  </w:num>
  <w:num w:numId="28" w16cid:durableId="1043090917">
    <w:abstractNumId w:val="50"/>
  </w:num>
  <w:num w:numId="29" w16cid:durableId="1063530912">
    <w:abstractNumId w:val="10"/>
  </w:num>
  <w:num w:numId="30" w16cid:durableId="256985870">
    <w:abstractNumId w:val="49"/>
  </w:num>
  <w:num w:numId="31" w16cid:durableId="1901086950">
    <w:abstractNumId w:val="34"/>
  </w:num>
  <w:num w:numId="32" w16cid:durableId="2014525366">
    <w:abstractNumId w:val="6"/>
  </w:num>
  <w:num w:numId="33" w16cid:durableId="1281716800">
    <w:abstractNumId w:val="7"/>
  </w:num>
  <w:num w:numId="34" w16cid:durableId="1371034363">
    <w:abstractNumId w:val="35"/>
  </w:num>
  <w:num w:numId="35" w16cid:durableId="1778258814">
    <w:abstractNumId w:val="22"/>
  </w:num>
  <w:num w:numId="36" w16cid:durableId="385303277">
    <w:abstractNumId w:val="11"/>
  </w:num>
  <w:num w:numId="37" w16cid:durableId="913703589">
    <w:abstractNumId w:val="41"/>
  </w:num>
  <w:num w:numId="38" w16cid:durableId="1649893705">
    <w:abstractNumId w:val="31"/>
  </w:num>
  <w:num w:numId="39" w16cid:durableId="855316211">
    <w:abstractNumId w:val="29"/>
  </w:num>
  <w:num w:numId="40" w16cid:durableId="1365522287">
    <w:abstractNumId w:val="27"/>
  </w:num>
  <w:num w:numId="41" w16cid:durableId="1291322156">
    <w:abstractNumId w:val="36"/>
  </w:num>
  <w:num w:numId="42" w16cid:durableId="1840272525">
    <w:abstractNumId w:val="53"/>
  </w:num>
  <w:num w:numId="43" w16cid:durableId="167407548">
    <w:abstractNumId w:val="40"/>
  </w:num>
  <w:num w:numId="44" w16cid:durableId="1876230575">
    <w:abstractNumId w:val="43"/>
  </w:num>
  <w:num w:numId="45" w16cid:durableId="2121220650">
    <w:abstractNumId w:val="1"/>
  </w:num>
  <w:num w:numId="46" w16cid:durableId="208541098">
    <w:abstractNumId w:val="52"/>
  </w:num>
  <w:num w:numId="47" w16cid:durableId="1541821235">
    <w:abstractNumId w:val="56"/>
  </w:num>
  <w:num w:numId="48" w16cid:durableId="1908566297">
    <w:abstractNumId w:val="0"/>
  </w:num>
  <w:num w:numId="49" w16cid:durableId="1313635185">
    <w:abstractNumId w:val="39"/>
  </w:num>
  <w:num w:numId="50" w16cid:durableId="1898008294">
    <w:abstractNumId w:val="28"/>
  </w:num>
  <w:num w:numId="51" w16cid:durableId="1703171493">
    <w:abstractNumId w:val="16"/>
  </w:num>
  <w:num w:numId="52" w16cid:durableId="1697386429">
    <w:abstractNumId w:val="54"/>
  </w:num>
  <w:num w:numId="53" w16cid:durableId="2141409750">
    <w:abstractNumId w:val="4"/>
  </w:num>
  <w:num w:numId="54" w16cid:durableId="751664209">
    <w:abstractNumId w:val="24"/>
  </w:num>
  <w:num w:numId="55" w16cid:durableId="11304831">
    <w:abstractNumId w:val="38"/>
  </w:num>
  <w:num w:numId="56" w16cid:durableId="865752562">
    <w:abstractNumId w:val="48"/>
  </w:num>
  <w:num w:numId="57" w16cid:durableId="1745642571">
    <w:abstractNumId w:val="21"/>
  </w:num>
  <w:num w:numId="58" w16cid:durableId="1247417885">
    <w:abstractNumId w:val="33"/>
  </w:num>
  <w:num w:numId="59" w16cid:durableId="12797540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66C"/>
    <w:rsid w:val="000A7CA9"/>
    <w:rsid w:val="003762C0"/>
    <w:rsid w:val="004E766C"/>
    <w:rsid w:val="006D32A4"/>
    <w:rsid w:val="00A4465B"/>
    <w:rsid w:val="00BC4986"/>
    <w:rsid w:val="00D554E5"/>
    <w:rsid w:val="00FB187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13C73A"/>
  <w15:docId w15:val="{7F453E3E-56F7-A640-97A7-0F66683D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240" w:after="240" w:line="240" w:lineRule="auto"/>
      <w:jc w:val="both"/>
      <w:outlineLvl w:val="0"/>
    </w:pPr>
    <w:rPr>
      <w:rFonts w:ascii="Times New Roman" w:eastAsia="Times New Roman" w:hAnsi="Times New Roman" w:cs="Times New Roman"/>
      <w:b/>
      <w:bCs/>
      <w:sz w:val="28"/>
      <w:szCs w:val="28"/>
      <w:u w:val="single"/>
    </w:rPr>
  </w:style>
  <w:style w:type="paragraph" w:styleId="Titre2">
    <w:name w:val="heading 2"/>
    <w:basedOn w:val="Normal"/>
    <w:next w:val="Normal"/>
    <w:uiPriority w:val="9"/>
    <w:unhideWhenUsed/>
    <w:qFormat/>
    <w:pPr>
      <w:keepNext/>
      <w:keepLines/>
      <w:spacing w:line="240" w:lineRule="auto"/>
      <w:jc w:val="both"/>
      <w:outlineLvl w:val="1"/>
    </w:pPr>
    <w:rPr>
      <w:rFonts w:ascii="Times New Roman" w:eastAsia="Times New Roman" w:hAnsi="Times New Roman" w:cs="Times New Roman"/>
      <w:b/>
      <w:bCs/>
      <w:color w:val="FF0000"/>
      <w:sz w:val="24"/>
      <w:szCs w:val="24"/>
      <w:u w:val="single"/>
    </w:rPr>
  </w:style>
  <w:style w:type="paragraph" w:styleId="Titre3">
    <w:name w:val="heading 3"/>
    <w:basedOn w:val="Normal"/>
    <w:next w:val="Normal"/>
    <w:uiPriority w:val="9"/>
    <w:unhideWhenUsed/>
    <w:qFormat/>
    <w:pPr>
      <w:keepNext/>
      <w:keepLines/>
      <w:spacing w:line="240" w:lineRule="auto"/>
      <w:ind w:firstLine="700"/>
      <w:jc w:val="both"/>
      <w:outlineLvl w:val="2"/>
    </w:pPr>
    <w:rPr>
      <w:rFonts w:ascii="Times New Roman" w:eastAsia="Times New Roman" w:hAnsi="Times New Roman" w:cs="Times New Roman"/>
      <w:b/>
      <w:bCs/>
      <w:sz w:val="24"/>
      <w:szCs w:val="24"/>
    </w:rPr>
  </w:style>
  <w:style w:type="paragraph" w:styleId="Titre4">
    <w:name w:val="heading 4"/>
    <w:basedOn w:val="Normal"/>
    <w:next w:val="Normal"/>
    <w:uiPriority w:val="9"/>
    <w:unhideWhenUsed/>
    <w:qFormat/>
    <w:pPr>
      <w:keepNext/>
      <w:keepLines/>
      <w:shd w:val="clear" w:color="auto" w:fill="FFFFFF"/>
      <w:spacing w:before="240" w:after="240" w:line="240" w:lineRule="auto"/>
      <w:ind w:left="720" w:firstLine="720"/>
      <w:jc w:val="both"/>
      <w:outlineLvl w:val="3"/>
    </w:pPr>
    <w:rPr>
      <w:rFonts w:ascii="Times New Roman" w:eastAsia="Times New Roman" w:hAnsi="Times New Roman" w:cs="Times New Roman"/>
      <w:i/>
      <w:iCs/>
      <w:color w:val="EE0000"/>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Rvision">
    <w:name w:val="Revision"/>
    <w:hidden/>
    <w:uiPriority w:val="99"/>
    <w:semiHidden/>
    <w:rsid w:val="002B15B3"/>
    <w:pPr>
      <w:spacing w:line="240" w:lineRule="auto"/>
    </w:pPr>
  </w:style>
  <w:style w:type="character" w:styleId="Marquedecommentaire">
    <w:name w:val="annotation reference"/>
    <w:basedOn w:val="Policepardfaut"/>
    <w:uiPriority w:val="99"/>
    <w:semiHidden/>
    <w:unhideWhenUsed/>
    <w:rsid w:val="002B15B3"/>
    <w:rPr>
      <w:sz w:val="16"/>
      <w:szCs w:val="16"/>
    </w:rPr>
  </w:style>
  <w:style w:type="paragraph" w:styleId="Commentaire">
    <w:name w:val="annotation text"/>
    <w:basedOn w:val="Normal"/>
    <w:link w:val="CommentaireCar"/>
    <w:uiPriority w:val="99"/>
    <w:semiHidden/>
    <w:unhideWhenUsed/>
    <w:rsid w:val="002B15B3"/>
    <w:pPr>
      <w:spacing w:line="240" w:lineRule="auto"/>
    </w:pPr>
    <w:rPr>
      <w:sz w:val="20"/>
      <w:szCs w:val="20"/>
    </w:rPr>
  </w:style>
  <w:style w:type="character" w:customStyle="1" w:styleId="CommentaireCar">
    <w:name w:val="Commentaire Car"/>
    <w:basedOn w:val="Policepardfaut"/>
    <w:link w:val="Commentaire"/>
    <w:uiPriority w:val="99"/>
    <w:semiHidden/>
    <w:rsid w:val="002B15B3"/>
    <w:rPr>
      <w:sz w:val="20"/>
      <w:szCs w:val="20"/>
    </w:rPr>
  </w:style>
  <w:style w:type="paragraph" w:styleId="Objetducommentaire">
    <w:name w:val="annotation subject"/>
    <w:basedOn w:val="Commentaire"/>
    <w:next w:val="Commentaire"/>
    <w:link w:val="ObjetducommentaireCar"/>
    <w:uiPriority w:val="99"/>
    <w:semiHidden/>
    <w:unhideWhenUsed/>
    <w:rsid w:val="002B15B3"/>
    <w:rPr>
      <w:b/>
      <w:bCs/>
    </w:rPr>
  </w:style>
  <w:style w:type="character" w:customStyle="1" w:styleId="ObjetducommentaireCar">
    <w:name w:val="Objet du commentaire Car"/>
    <w:basedOn w:val="CommentaireCar"/>
    <w:link w:val="Objetducommentaire"/>
    <w:uiPriority w:val="99"/>
    <w:semiHidden/>
    <w:rsid w:val="002B15B3"/>
    <w:rPr>
      <w:b/>
      <w:bCs/>
      <w:sz w:val="20"/>
      <w:szCs w:val="20"/>
    </w:rPr>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paragraph" w:styleId="En-tte">
    <w:name w:val="header"/>
    <w:basedOn w:val="Normal"/>
    <w:link w:val="En-tteCar"/>
    <w:uiPriority w:val="99"/>
    <w:unhideWhenUsed/>
    <w:rsid w:val="00A4465B"/>
    <w:pPr>
      <w:tabs>
        <w:tab w:val="center" w:pos="4536"/>
        <w:tab w:val="right" w:pos="9072"/>
      </w:tabs>
      <w:spacing w:line="240" w:lineRule="auto"/>
    </w:pPr>
  </w:style>
  <w:style w:type="character" w:customStyle="1" w:styleId="En-tteCar">
    <w:name w:val="En-tête Car"/>
    <w:basedOn w:val="Policepardfaut"/>
    <w:link w:val="En-tte"/>
    <w:uiPriority w:val="99"/>
    <w:rsid w:val="00A4465B"/>
  </w:style>
  <w:style w:type="paragraph" w:styleId="Pieddepage">
    <w:name w:val="footer"/>
    <w:basedOn w:val="Normal"/>
    <w:link w:val="PieddepageCar"/>
    <w:uiPriority w:val="99"/>
    <w:unhideWhenUsed/>
    <w:rsid w:val="00A4465B"/>
    <w:pPr>
      <w:tabs>
        <w:tab w:val="center" w:pos="4536"/>
        <w:tab w:val="right" w:pos="9072"/>
      </w:tabs>
      <w:spacing w:line="240" w:lineRule="auto"/>
    </w:pPr>
  </w:style>
  <w:style w:type="character" w:customStyle="1" w:styleId="PieddepageCar">
    <w:name w:val="Pied de page Car"/>
    <w:basedOn w:val="Policepardfaut"/>
    <w:link w:val="Pieddepage"/>
    <w:uiPriority w:val="99"/>
    <w:rsid w:val="00A446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hyperlink" Target="https://doi.org/10.3917/cdge.066.0017" TargetMode="External"/><Relationship Id="rId39" Type="http://schemas.openxmlformats.org/officeDocument/2006/relationships/hyperlink" Target="https://lamaisonphare.fr/blog/le-pouvoir-dagir-illusion-participative-du-neoliberalisme/" TargetMode="External"/><Relationship Id="rId21" Type="http://schemas.openxmlformats.org/officeDocument/2006/relationships/image" Target="media/image6.jpg"/><Relationship Id="rId34" Type="http://schemas.openxmlformats.org/officeDocument/2006/relationships/hyperlink" Target="https://academic.oup.com/lawfam/article-abstract/37/1/ebac034/6982522" TargetMode="External"/><Relationship Id="rId42" Type="http://schemas.openxmlformats.org/officeDocument/2006/relationships/hyperlink" Target="https://www.urban.org/research/publication/strategies-cultivating-organizational-learning-culture" TargetMode="Externa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jstor.org/stable/pdf/30282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www.persee.fr/doc/arss_0335-5322_1986_num_64_1_2332" TargetMode="External"/><Relationship Id="rId32" Type="http://schemas.openxmlformats.org/officeDocument/2006/relationships/hyperlink" Target="https://doi.org/10.3917/jdsam.251.0007a" TargetMode="External"/><Relationship Id="rId37" Type="http://schemas.openxmlformats.org/officeDocument/2006/relationships/hyperlink" Target="https://www.socialter.fr/article/henri-lefebvre-espace-temps-emancipation" TargetMode="External"/><Relationship Id="rId40" Type="http://schemas.openxmlformats.org/officeDocument/2006/relationships/hyperlink" Target="https://dubasque.org/lidentite-professionnelle/" TargetMode="External"/><Relationship Id="rId45" Type="http://schemas.openxmlformats.org/officeDocument/2006/relationships/hyperlink" Target="https://affairesjuridiques.aphp.fr/textes/haute-autorite-de-sante-recommandations-sur-le-reperage-des-femmes-victimes-de-violences-au-sein-du-couple-juin-2019/"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shs.cairn.info/revue-geneses-2025-1-page-14?lang=fr" TargetMode="External"/><Relationship Id="rId36" Type="http://schemas.openxmlformats.org/officeDocument/2006/relationships/hyperlink" Target="https://jan.ucc.nau.edu/~sj6/Spivak%20CanTheSubalternSpeak.pdf" TargetMode="Externa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yperlink" Target="https://doi.org/10.3917/cdge.066.0051" TargetMode="External"/><Relationship Id="rId44" Type="http://schemas.openxmlformats.org/officeDocument/2006/relationships/hyperlink" Target="https://www.google.com/search?q=https://www.conseil-national.medecin.fr/medecin/deontologie/serment-dhippocrat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image" Target="media/image7.jpg"/><Relationship Id="rId27" Type="http://schemas.openxmlformats.org/officeDocument/2006/relationships/hyperlink" Target="https://www.google.com/search?q=https://www.cairn.info/revue-geneses-2025-1-page-14.htm" TargetMode="External"/><Relationship Id="rId30" Type="http://schemas.openxmlformats.org/officeDocument/2006/relationships/hyperlink" Target="https://hal.science/hal-00717447/document" TargetMode="External"/><Relationship Id="rId35" Type="http://schemas.openxmlformats.org/officeDocument/2006/relationships/hyperlink" Target="https://www.google.com/search?q=https://shs.cairn.info/la-promotion-de-la-sa-au-prisme-du-genre--9782810907151-page-19" TargetMode="External"/><Relationship Id="rId43" Type="http://schemas.openxmlformats.org/officeDocument/2006/relationships/hyperlink" Target="https://www.cnrtl.fr/definition/f%C3%A9minisme"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3.jpg"/><Relationship Id="rId25" Type="http://schemas.openxmlformats.org/officeDocument/2006/relationships/hyperlink" Target="https://doi.org/10.3917/cm.088.0079" TargetMode="External"/><Relationship Id="rId33" Type="http://schemas.openxmlformats.org/officeDocument/2006/relationships/hyperlink" Target="https://journals.openedition.org/bssg/327" TargetMode="External"/><Relationship Id="rId38" Type="http://schemas.openxmlformats.org/officeDocument/2006/relationships/hyperlink" Target="http://www.casadelamujer.org.bo/" TargetMode="External"/><Relationship Id="rId46" Type="http://schemas.openxmlformats.org/officeDocument/2006/relationships/hyperlink" Target="https://www.egalite-femmes-hommes.gouv.fr/lutte-contre-les-violences-faites-aux-femmes-un-guide-pour-accueillir-et-accompagner-des-femmes-victimes-de-violences-au-sein-du-couple" TargetMode="External"/><Relationship Id="rId20" Type="http://schemas.openxmlformats.org/officeDocument/2006/relationships/image" Target="media/image5.png"/><Relationship Id="rId41" Type="http://schemas.openxmlformats.org/officeDocument/2006/relationships/hyperlink" Target="https://terreurbaine.com/wp-content/uploads/2021/07/303.-Habiter_2021.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UEbi32tOkmcLx0KQ0LRb96aQxg==">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49</Pages>
  <Words>20213</Words>
  <Characters>111175</Characters>
  <Application>Microsoft Office Word</Application>
  <DocSecurity>0</DocSecurity>
  <Lines>926</Lines>
  <Paragraphs>262</Paragraphs>
  <ScaleCrop>false</ScaleCrop>
  <Company/>
  <LinksUpToDate>false</LinksUpToDate>
  <CharactersWithSpaces>131126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Noé Veillet</cp:lastModifiedBy>
  <cp:revision>3</cp:revision>
  <dcterms:created xsi:type="dcterms:W3CDTF">2026-04-22T13:39:00Z</dcterms:created>
  <dcterms:modified xsi:type="dcterms:W3CDTF">2026-04-22T13:44:00Z</dcterms:modified>
</cp:coreProperties>
</file>