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Arthur GUICHARD</w:t>
      </w:r>
    </w:p>
    <w:p w:rsidR="00000000" w:rsidDel="00000000" w:rsidP="00000000" w:rsidRDefault="00000000" w:rsidRPr="00000000" w14:paraId="0000000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Ieva SOBOLEVSKYTE</w:t>
      </w:r>
    </w:p>
    <w:p w:rsidR="00000000" w:rsidDel="00000000" w:rsidP="00000000" w:rsidRDefault="00000000" w:rsidRPr="00000000" w14:paraId="00000003">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Naël JAOUDI-DELAUNAY</w:t>
      </w:r>
    </w:p>
    <w:p w:rsidR="00000000" w:rsidDel="00000000" w:rsidP="00000000" w:rsidRDefault="00000000" w:rsidRPr="00000000" w14:paraId="0000000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COLOVRAY--CARDINEAU</w:t>
      </w:r>
    </w:p>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Naël POLYDOR   </w:t>
      </w:r>
    </w:p>
    <w:p w:rsidR="00000000" w:rsidDel="00000000" w:rsidP="00000000" w:rsidRDefault="00000000" w:rsidRPr="00000000" w14:paraId="00000006">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Shannon CHO</w:t>
      </w:r>
    </w:p>
    <w:p w:rsidR="00000000" w:rsidDel="00000000" w:rsidP="00000000" w:rsidRDefault="00000000" w:rsidRPr="00000000" w14:paraId="00000007">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LEPAGE</w:t>
      </w:r>
    </w:p>
    <w:p w:rsidR="00000000" w:rsidDel="00000000" w:rsidP="00000000" w:rsidRDefault="00000000" w:rsidRPr="00000000" w14:paraId="00000008">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Synthèse stratégique - PUI Impulse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995863" cy="1761744"/>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995863" cy="176174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2733675</wp:posOffset>
            </wp:positionH>
            <wp:positionV relativeFrom="paragraph">
              <wp:posOffset>133350</wp:posOffset>
            </wp:positionV>
            <wp:extent cx="2767013" cy="1958672"/>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67013" cy="1958672"/>
                    </a:xfrm>
                    <a:prstGeom prst="rect"/>
                    <a:ln/>
                  </pic:spPr>
                </pic:pic>
              </a:graphicData>
            </a:graphic>
          </wp:anchor>
        </w:drawing>
      </w:r>
    </w:p>
    <w:p w:rsidR="00000000" w:rsidDel="00000000" w:rsidP="00000000" w:rsidRDefault="00000000" w:rsidRPr="00000000" w14:paraId="00000022">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914400</wp:posOffset>
            </wp:positionH>
            <wp:positionV relativeFrom="paragraph">
              <wp:posOffset>542925</wp:posOffset>
            </wp:positionV>
            <wp:extent cx="2090738" cy="597354"/>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090738" cy="597354"/>
                    </a:xfrm>
                    <a:prstGeom prst="rect"/>
                    <a:ln/>
                  </pic:spPr>
                </pic:pic>
              </a:graphicData>
            </a:graphic>
          </wp:anchor>
        </w:drawing>
      </w:r>
    </w:p>
    <w:p w:rsidR="00000000" w:rsidDel="00000000" w:rsidP="00000000" w:rsidRDefault="00000000" w:rsidRPr="00000000" w14:paraId="00000023">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Sommaire:</w:t>
      </w:r>
    </w:p>
    <w:p w:rsidR="00000000" w:rsidDel="00000000" w:rsidP="00000000" w:rsidRDefault="00000000" w:rsidRPr="00000000" w14:paraId="00000024">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5">
      <w:pPr>
        <w:numPr>
          <w:ilvl w:val="0"/>
          <w:numId w:val="8"/>
        </w:numPr>
        <w:spacing w:after="0" w:afterAutospacing="0" w:before="240" w:lineRule="auto"/>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Enjeux de la mission…………………………………Pages 3-4 </w:t>
      </w:r>
    </w:p>
    <w:p w:rsidR="00000000" w:rsidDel="00000000" w:rsidP="00000000" w:rsidRDefault="00000000" w:rsidRPr="00000000" w14:paraId="00000026">
      <w:pPr>
        <w:numPr>
          <w:ilvl w:val="0"/>
          <w:numId w:val="8"/>
        </w:numPr>
        <w:spacing w:after="0" w:afterAutospacing="0" w:before="0" w:beforeAutospacing="0" w:lineRule="auto"/>
        <w:ind w:left="720" w:hanging="360"/>
        <w:jc w:val="both"/>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Les forces de l’écosystème Lyon-Saint-Etienne…..  Pages 5 à 8</w:t>
      </w:r>
    </w:p>
    <w:p w:rsidR="00000000" w:rsidDel="00000000" w:rsidP="00000000" w:rsidRDefault="00000000" w:rsidRPr="00000000" w14:paraId="00000027">
      <w:pPr>
        <w:numPr>
          <w:ilvl w:val="0"/>
          <w:numId w:val="8"/>
        </w:numPr>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Les difficultés et les doublons au sein de l’écosystème de l’innovation à Lyon/Saint-Etienne………………………………   Pages 9 à 12</w:t>
      </w:r>
    </w:p>
    <w:p w:rsidR="00000000" w:rsidDel="00000000" w:rsidP="00000000" w:rsidRDefault="00000000" w:rsidRPr="00000000" w14:paraId="00000028">
      <w:pPr>
        <w:numPr>
          <w:ilvl w:val="0"/>
          <w:numId w:val="8"/>
        </w:numPr>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Pistes d’amélioration des dispositifs d’innovation sur le site Lyon–Saint-Étienne……………………………….    Pages 13 à 17</w:t>
      </w:r>
    </w:p>
    <w:p w:rsidR="00000000" w:rsidDel="00000000" w:rsidP="00000000" w:rsidRDefault="00000000" w:rsidRPr="00000000" w14:paraId="00000029">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A">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B">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C">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D">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E">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F">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0">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1">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2">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3">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4">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5">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6">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7">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8">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9">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A">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I. Enjeux de la mission </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mission confiée était celle d’élaborer un panorama de l’écosystème d’innovation universitaire du secteur Lyon-Saint-Etienne.  L’objectif n’était pas de faire un simple listage mais bien, au travers d’entretiens principalement, de mesurer les interactions et absences d’interactions au sein de cet écosystème.  Très concrètement, une pluralité d’acteurs:</w:t>
      </w:r>
    </w:p>
    <w:p w:rsidR="00000000" w:rsidDel="00000000" w:rsidP="00000000" w:rsidRDefault="00000000" w:rsidRPr="00000000" w14:paraId="0000003C">
      <w:pPr>
        <w:numPr>
          <w:ilvl w:val="0"/>
          <w:numId w:val="7"/>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 universitaires avec des disciplines variées : SHS, économie-gestion,  mécanique-industrie.</w:t>
      </w:r>
    </w:p>
    <w:p w:rsidR="00000000" w:rsidDel="00000000" w:rsidP="00000000" w:rsidRDefault="00000000" w:rsidRPr="00000000" w14:paraId="0000003D">
      <w:pPr>
        <w:numPr>
          <w:ilvl w:val="0"/>
          <w:numId w:val="7"/>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 acteurs institutionnels : DRARI, présidents d’Université…</w:t>
      </w:r>
    </w:p>
    <w:p w:rsidR="00000000" w:rsidDel="00000000" w:rsidP="00000000" w:rsidRDefault="00000000" w:rsidRPr="00000000" w14:paraId="0000003E">
      <w:pPr>
        <w:numPr>
          <w:ilvl w:val="0"/>
          <w:numId w:val="7"/>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 acteurs hospitalo-universitaires, notamment la direction de l’innovation des HCL.</w:t>
      </w:r>
    </w:p>
    <w:p w:rsidR="00000000" w:rsidDel="00000000" w:rsidP="00000000" w:rsidRDefault="00000000" w:rsidRPr="00000000" w14:paraId="0000003F">
      <w:pPr>
        <w:numPr>
          <w:ilvl w:val="0"/>
          <w:numId w:val="7"/>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 acteurs issus du monde économique : pôles de compétitivité, instituts carnot…</w:t>
      </w:r>
    </w:p>
    <w:p w:rsidR="00000000" w:rsidDel="00000000" w:rsidP="00000000" w:rsidRDefault="00000000" w:rsidRPr="00000000" w14:paraId="00000040">
      <w:pPr>
        <w:numPr>
          <w:ilvl w:val="0"/>
          <w:numId w:val="7"/>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 directeurs de laboratoires.</w:t>
      </w:r>
    </w:p>
    <w:p w:rsidR="00000000" w:rsidDel="00000000" w:rsidP="00000000" w:rsidRDefault="00000000" w:rsidRPr="00000000" w14:paraId="00000041">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L’innovation, notion centrale de ce projet, est une notion n’est devenue un objectif de politiques publiques que très récemment, principalement avec la naissance des programmes d’investissements d’avenir en 2010. Si l’innovation a toujours existé, ce n’est qu’à partir de 2010 qu’elle est nommée explicitement en tant que telle et qu’elle devient un objectif à atteindre. Ce changement sémantique, comme il a pu être expliqué par divers acteurs n’a pas été anodin, il a introduit un bouleversement paradigmatique majeur dans le champ de l’enseignement supérieur et de la recherche français : la volonté de mettre fin à une séparation stricte entre recherche fondamentale et recherche appliquée, au profit d’un continuum : la recherche collaborative.  Ceci s’illustre par la notion concrète de transfert de technologie : sortir d’une logique de recherche qui serait limitée à la sortie de publications pour aboutir à des produits qui seraient innovants pouvant être potentiellement commercialisés.  Pour parvenir à cela, des structures ont émergé dans le but de favoriser ce transfert de technologie : les SATT, les DRARI, les incubateurs académiques mais aussi la montée en puissance de la BPI en tant que financeur de l’innovation.</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Ce qui a introduit cette nécessité de bouleversement concernant l’approche de l’innovation, ce sont les questions de souveraineté, qui ont provoqué la naissance des PIA, puis du plan France 2030 avec pour objectif explicite de rattraper le retard français dans l’industrie, le développement durable et le numérique principalement.</w:t>
      </w:r>
    </w:p>
    <w:p w:rsidR="00000000" w:rsidDel="00000000" w:rsidP="00000000" w:rsidRDefault="00000000" w:rsidRPr="00000000" w14:paraId="0000004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point fondamental de ce travail était la représentation de l’innovation par les différents acteurs de l’innovation universitaire. A ce titre, il était fondamental d’établir une différence entre la définition présupposée de cette notion et la réalité de la perception des différents acteurs interrogés.  En effet, tous les acteurs ont souligné le fait que la plupart du temps, la définition commune et limitée de cette notion se limite à l’innovation technologique et ce qui est communément nommé la « deeptech ». Pour autant, tous, ont souligné qu’il s’agit d’une définition très restrictive,  qui ne prend pas en compte d’autres dimensions :  des transformations d’usages, de comportements et d’organisations susceptibles de créer de la valeur et d’être transférées.  Plus généralement, l’innovation est décrite par la plupart des personnes interrogées comme un processus visant à transformer la société, de différentes manières, et donc de répondre à un besoin. La réponse à ce besoin peut être un nouveau produit comme un nouveau procédé, par exemple au sein des HCL, la direction de l’innovation considère que l’innovation peut être à la fois technologique, médicale ou robotique mais aussi organisationnelle et managériale. A ce titre, beaucoup d’intervenants ont souligné la nécessité de différencier deux types d’innovation : l’innovation de rupture et l’innovation incrémentale.  </w:t>
      </w:r>
    </w:p>
    <w:p w:rsidR="00000000" w:rsidDel="00000000" w:rsidP="00000000" w:rsidRDefault="00000000" w:rsidRPr="00000000" w14:paraId="0000004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L’innovation de rupture désigne souvent un produit technologique, commercialisé sur le marché qui vise à remplacer la technologie précédente.  L’innovation incrémentale, elle, prend appui de l’existant pour améliorer un processus ou un produit de manière graduelle sans provoquer de changement brutal ou radical. </w:t>
      </w:r>
    </w:p>
    <w:p w:rsidR="00000000" w:rsidDel="00000000" w:rsidP="00000000" w:rsidRDefault="00000000" w:rsidRPr="00000000" w14:paraId="0000004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Plus largement, ce que soulignent un nombre important d’acteurs interrogés est que l’innovation sociétale est insuffisamment prise en compte. En effet, selon plusieurs acteurs, les SHS sont de plus en plus sollicitées sur différents projets innovants, la problématique est que comme celles-ci n’ont pas vocation à faire émerger une innovation qui se traduirait par un produit technologique commercialisable, ou du moins valorisable économiquement. Cela se traduit par le fait que les PUI et les SATT ont encore du mal à intégrer cette dimension de l’innovation. De la même manière, certains acteurs ont souligné que le terme « innovation » est parfois mal vu en SHS, trop rattaché à la valorisation économique sans prendre en compte toute la dimension organisationnelle du terme. D’autres acteurs ont une définition beaucoup plus économique du terme, considérant que  l’innovation est précisément le passage de la recherche fondamentale vers le monde socio-économique. D’autres, à l’instar de Valérie Mazza (présidente de Pulsalys) considèrent que l’objectif premier de l’innovation est de trouver un débouché économique, une définition qui peut entrer en contradiction avec celle de SHS qui considère l’innovation dans une optique de répondre à un besoin sociétal sans obligation de rentabilité économique. D’autres universitaires issus de disciplines différentes comme Christian Vollaire (génie électrique) considèrent que l’innovation ne peut être réduite à une mise en marché d’un produit mais peut aussi être intrinsèque aux travaux scientifiques eux-mêmes.  En résumé, l’innovation est décrite comme un continuum entre la recherche fondamentale et son application concrète, et le fait de répondre à un besoin. Tous les acteurs sont en accord sur le fait que l’innovation ne peut être réduite à un produit technologique, pour autant une divergence apparaît quant à l’optique : certains considèrent que la finalité de toute innovation est économique, quand d’autres considèrent qu’elle peut répondre à un besoin sociétal sans finalité de valorisation obligatoire. Enfin, il est pertinent de noter qu’il est possible de comparer cette définition donnée à l’innovation entre deux pays : Patrick Cohendet, enseignant-chercheur en économie à Montréal (HEC) considère que l’innovation vise à l’émergence de produits ou services destinés au marché.</w:t>
      </w:r>
    </w:p>
    <w:p w:rsidR="00000000" w:rsidDel="00000000" w:rsidP="00000000" w:rsidRDefault="00000000" w:rsidRPr="00000000" w14:paraId="0000004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fois ce cadre théorique établi, il a paru intéressant de se focaliser sur l’écosystème d’innovation de Lyon et Saint-Etienne pour comprendre son fonctionnement, les interactions qui y existent, ses forces et ses faiblesses afin d’en déduire des possibles pistes d’amélioration.</w:t>
      </w:r>
    </w:p>
    <w:p w:rsidR="00000000" w:rsidDel="00000000" w:rsidP="00000000" w:rsidRDefault="00000000" w:rsidRPr="00000000" w14:paraId="00000047">
      <w:pPr>
        <w:spacing w:after="240" w:befor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Rule="auto"/>
        <w:ind w:left="0" w:firstLine="0"/>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II. Les forces de l’écosystème d’innovation Lyon–Saint-Étienne</w:t>
      </w:r>
    </w:p>
    <w:p w:rsidR="00000000" w:rsidDel="00000000" w:rsidP="00000000" w:rsidRDefault="00000000" w:rsidRPr="00000000" w14:paraId="00000049">
      <w:pPr>
        <w:spacing w:after="240" w:befor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Le réseau d’acteurs participant à l'innovation sur le territoire de Lyon et Saint-Etienne est particulièrement dense, hétérogène et actif, aidé par des structures nombreuses et complémentaires favorisant le transfert technologique, qui tendent à renforcer le dialogue entre recherche et application pratique tant par leur expertise que par leur capacité de financement.</w:t>
        <w:tab/>
      </w:r>
      <w:r w:rsidDel="00000000" w:rsidR="00000000" w:rsidRPr="00000000">
        <w:rPr>
          <w:rtl w:val="0"/>
        </w:rPr>
      </w:r>
    </w:p>
    <w:p w:rsidR="00000000" w:rsidDel="00000000" w:rsidP="00000000" w:rsidRDefault="00000000" w:rsidRPr="00000000" w14:paraId="0000004A">
      <w:pPr>
        <w:numPr>
          <w:ilvl w:val="0"/>
          <w:numId w:val="1"/>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 écosystème académique, institutionnel et professionnel structuré et fortement engagé en faveur de l’innovation</w:t>
      </w:r>
    </w:p>
    <w:p w:rsidR="00000000" w:rsidDel="00000000" w:rsidP="00000000" w:rsidRDefault="00000000" w:rsidRPr="00000000" w14:paraId="0000004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territoire Lyon–Saint-Étienne se caractérise par une forte densité et activité des acteurs académiques, institutionnels et industriels, constituant un écosystème particulièrement favorable à l’innovation.</w:t>
      </w:r>
    </w:p>
    <w:p w:rsidR="00000000" w:rsidDel="00000000" w:rsidP="00000000" w:rsidRDefault="00000000" w:rsidRPr="00000000" w14:paraId="0000004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D’un point de vue académique, le territoire dispose de plus de 150 laboratoires dans des domaines variés, des SHS à la médecine en passant par la mécanique et l’informatique, encadrés par des tutelles reconnues et variées, que ce soit les 4 universités du territoire ou les nombreuses écoles d’ingénieurs, de commerce ou d’art présentes dans la zone. Cette diversité disciplinaire constitue une force majeure. </w:t>
      </w:r>
    </w:p>
    <w:p w:rsidR="00000000" w:rsidDel="00000000" w:rsidP="00000000" w:rsidRDefault="00000000" w:rsidRPr="00000000" w14:paraId="0000004D">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L’innovation sur le territoire Lyon–Saint-Étienne repose également sur l’implication d’autres acteurs institutionnels, qui jouent un rôle structurant à plusieurs niveaux. La DRARI assure la mise en œuvre des politiques nationales, l’évaluation des projets et l’animation de l’écosystème, en facilitant les liens entre laboratoires, entreprises et structures d’accompagnement et met en place les thèses CIFRE. Les métropoles de Lyon et de Saint-Étienne interviennent comme des acteurs clés de l’innovation en finançant des projets, des thèses ou des dispositifs expérimentaux, mais aussi en lançant des appels à projets répondant à des enjeux concrets (santé, urbanisme, transition écologique). La Région Auvergne-Rhône-Alpes intervient en soutenant financièrement des projets de recherche, des équipements ou des programmes d’innovation à plus grande échelle. Enfin, des structures comme la SATT Pulsalys participent à la valorisation économique des résultats scientifiques, en accompagnant la maturation, le financement et le transfert des innovations vers le marché. Ainsi, l’action combinée de ces acteurs publics et territoriaux permet de structurer, financer et orienter l’innovation en lien étroit avec les besoins du territoire.</w:t>
      </w:r>
    </w:p>
    <w:p w:rsidR="00000000" w:rsidDel="00000000" w:rsidP="00000000" w:rsidRDefault="00000000" w:rsidRPr="00000000" w14:paraId="0000004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ailleurs, l’ancrage industriel historique du territoire, notamment dans la mécanique ou les technologies médicales, renforce les capacités et la demande de transfert de la recherche vers des applications concrètes. Dans le domaine biomédical, la concentration d’acteurs est particulièrement marquée, avec des interactions fortes entre hôpitaux, laboratoires et industriels, comme Sanofi Pasteur ou BioMérieux. Cette proximité géographique favorise les collaborations et accélère les dynamiques d’innovation. Des instituts tels que les pôles de compétitivité Lyonbiopôle, des instituts Carnot comme le CETIM se chargent alors de contacter les chercheurs universitaires pour leur proposer des contrats dans un but d’application directe de la recherche aux secteurs qu’ils soutiennent.</w:t>
      </w:r>
    </w:p>
    <w:p w:rsidR="00000000" w:rsidDel="00000000" w:rsidP="00000000" w:rsidRDefault="00000000" w:rsidRPr="00000000" w14:paraId="0000004F">
      <w:pPr>
        <w:numPr>
          <w:ilvl w:val="0"/>
          <w:numId w:val="1"/>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 accompagnement disponible à toutes les étapes de l’innovation </w:t>
      </w:r>
    </w:p>
    <w:p w:rsidR="00000000" w:rsidDel="00000000" w:rsidP="00000000" w:rsidRDefault="00000000" w:rsidRPr="00000000" w14:paraId="0000005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L’écosystème Lyon–Saint-Étienne se distingue par un accompagnement structuré de l’innovation pour suivre le parcours du porteur de projet, de la sensibilisation initiale à la mise sur le marché.</w:t>
      </w:r>
    </w:p>
    <w:p w:rsidR="00000000" w:rsidDel="00000000" w:rsidP="00000000" w:rsidRDefault="00000000" w:rsidRPr="00000000" w14:paraId="00000051">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première étape est celle de la </w:t>
      </w:r>
      <w:r w:rsidDel="00000000" w:rsidR="00000000" w:rsidRPr="00000000">
        <w:rPr>
          <w:rFonts w:ascii="Times New Roman" w:cs="Times New Roman" w:eastAsia="Times New Roman" w:hAnsi="Times New Roman"/>
          <w:sz w:val="24"/>
          <w:szCs w:val="24"/>
          <w:rtl w:val="0"/>
        </w:rPr>
        <w:t xml:space="preserve">sensibilisation</w:t>
      </w:r>
      <w:r w:rsidDel="00000000" w:rsidR="00000000" w:rsidRPr="00000000">
        <w:rPr>
          <w:rFonts w:ascii="Times New Roman" w:cs="Times New Roman" w:eastAsia="Times New Roman" w:hAnsi="Times New Roman"/>
          <w:sz w:val="24"/>
          <w:szCs w:val="24"/>
          <w:rtl w:val="0"/>
        </w:rPr>
        <w:t xml:space="preserve">, essentielle pour préparer les étudiants et les jeunes chercheurs à la culture entrepreneuriale. Comme l’illustre le témoignage de Geoffrey Durand, de nombreux doctorants ou étudiants n’étaient initialement pas formés à la vie entrepreneuriale et n’avaient pas conscience des étapes nécessaires pour transformer un projet scientifique en innovation concrète. Des initiatives comme celles du Centre d’Entrepreneuriat Lyon–Saint-Étienne proposent des ateliers, des concours, des hackathons et des programmes de sensibilisation qui permettent aux étudiants de découvrir l’entrepreneuriat, de tester des idées et de se familiariser avec les démarches d'entrepreneuriat qui pourront être utiles pour des démarches futures de transfert technologique. Ces dispositifs visent à susciter l’envie de créer tout en donnant une première expérience pratique, même avant que le projet ne soit totalement mature.</w:t>
      </w:r>
    </w:p>
    <w:p w:rsidR="00000000" w:rsidDel="00000000" w:rsidP="00000000" w:rsidRDefault="00000000" w:rsidRPr="00000000" w14:paraId="0000005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chercheurs académiques bénéficient d’une </w:t>
      </w:r>
      <w:r w:rsidDel="00000000" w:rsidR="00000000" w:rsidRPr="00000000">
        <w:rPr>
          <w:rFonts w:ascii="Times New Roman" w:cs="Times New Roman" w:eastAsia="Times New Roman" w:hAnsi="Times New Roman"/>
          <w:sz w:val="24"/>
          <w:szCs w:val="24"/>
          <w:rtl w:val="0"/>
        </w:rPr>
        <w:t xml:space="preserve">sensibilisation spécifique aux enjeux de valorisation</w:t>
      </w:r>
      <w:r w:rsidDel="00000000" w:rsidR="00000000" w:rsidRPr="00000000">
        <w:rPr>
          <w:rFonts w:ascii="Times New Roman" w:cs="Times New Roman" w:eastAsia="Times New Roman" w:hAnsi="Times New Roman"/>
          <w:sz w:val="24"/>
          <w:szCs w:val="24"/>
          <w:rtl w:val="0"/>
        </w:rPr>
        <w:t xml:space="preserve">. Les services de valorisation du CNRS, ainsi que les référents désignés dans chaque laboratoire, jouent un rôle central pour identifier les résultats susceptibles d’être valorisés, pour informer les chercheurs sur les démarches à suivre et les inciter au dépôt de brevet. Comme le souligne le chargé de partenariats CNRS, ces actions permettent de préparer les scientifiques à intégrer la dimension économique et sociétale dès la conception de leurs travaux.</w:t>
      </w:r>
    </w:p>
    <w:p w:rsidR="00000000" w:rsidDel="00000000" w:rsidP="00000000" w:rsidRDefault="00000000" w:rsidRPr="00000000" w14:paraId="0000005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fois la sensibilisation réalisée, les porteurs de projets peuvent accéder à des </w:t>
      </w:r>
      <w:r w:rsidDel="00000000" w:rsidR="00000000" w:rsidRPr="00000000">
        <w:rPr>
          <w:rFonts w:ascii="Times New Roman" w:cs="Times New Roman" w:eastAsia="Times New Roman" w:hAnsi="Times New Roman"/>
          <w:sz w:val="24"/>
          <w:szCs w:val="24"/>
          <w:rtl w:val="0"/>
        </w:rPr>
        <w:t xml:space="preserve">dispositifs d’incubation et de pré-maturation</w:t>
      </w:r>
      <w:r w:rsidDel="00000000" w:rsidR="00000000" w:rsidRPr="00000000">
        <w:rPr>
          <w:rFonts w:ascii="Times New Roman" w:cs="Times New Roman" w:eastAsia="Times New Roman" w:hAnsi="Times New Roman"/>
          <w:sz w:val="24"/>
          <w:szCs w:val="24"/>
          <w:rtl w:val="0"/>
        </w:rPr>
        <w:t xml:space="preserve">. La SATT Pulsalys intervient ici en finançant les phases de prématuration et de maturation, en protégeant la propriété intellectuelle et en accompagnant la structuration du projet, que ce soit sous forme de preuve de concept ou de prototypage. Certaines universités, comme l’Université Jean Monnet, complètent ce dispositif avec des fonds dédiés à l’amorçage ou au soutien aux laboratoires, permettant de financer des thèses, des post-doctorats ou des développements technologiques.</w:t>
      </w:r>
    </w:p>
    <w:p w:rsidR="00000000" w:rsidDel="00000000" w:rsidP="00000000" w:rsidRDefault="00000000" w:rsidRPr="00000000" w14:paraId="0000005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collectivités territoriales, telles que la Métropole de Saint-Étienne, apportent également un soutien complémentaire en finançant certains projets, en participant à des appels à projets et en facilitant l’articulation entre laboratoires et entreprises locales. Son guichet unique MIND (Métropole INnovation Design) en partenariat avec la BPI facilite l'accès aux aides susceptibles d’accélérer le transfert technologique, la métropole fournit également des locaux pour les start-up. </w:t>
      </w:r>
    </w:p>
    <w:p w:rsidR="00000000" w:rsidDel="00000000" w:rsidP="00000000" w:rsidRDefault="00000000" w:rsidRPr="00000000" w14:paraId="0000005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projets peuvent bénéficier du soutien des </w:t>
      </w:r>
      <w:r w:rsidDel="00000000" w:rsidR="00000000" w:rsidRPr="00000000">
        <w:rPr>
          <w:rFonts w:ascii="Times New Roman" w:cs="Times New Roman" w:eastAsia="Times New Roman" w:hAnsi="Times New Roman"/>
          <w:sz w:val="24"/>
          <w:szCs w:val="24"/>
          <w:rtl w:val="0"/>
        </w:rPr>
        <w:t xml:space="preserve">pôles de compétitivité</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(comme Minalogic)</w:t>
      </w:r>
      <w:r w:rsidDel="00000000" w:rsidR="00000000" w:rsidRPr="00000000">
        <w:rPr>
          <w:rFonts w:ascii="Times New Roman" w:cs="Times New Roman" w:eastAsia="Times New Roman" w:hAnsi="Times New Roman"/>
          <w:sz w:val="24"/>
          <w:szCs w:val="24"/>
          <w:rtl w:val="0"/>
        </w:rPr>
        <w:t xml:space="preserve"> et des </w:t>
      </w:r>
      <w:r w:rsidDel="00000000" w:rsidR="00000000" w:rsidRPr="00000000">
        <w:rPr>
          <w:rFonts w:ascii="Times New Roman" w:cs="Times New Roman" w:eastAsia="Times New Roman" w:hAnsi="Times New Roman"/>
          <w:sz w:val="24"/>
          <w:szCs w:val="24"/>
          <w:rtl w:val="0"/>
        </w:rPr>
        <w:t xml:space="preserve">Instituts Carnot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(CETIM)</w:t>
      </w:r>
      <w:r w:rsidDel="00000000" w:rsidR="00000000" w:rsidRPr="00000000">
        <w:rPr>
          <w:rFonts w:ascii="Times New Roman" w:cs="Times New Roman" w:eastAsia="Times New Roman" w:hAnsi="Times New Roman"/>
          <w:sz w:val="24"/>
          <w:szCs w:val="24"/>
          <w:rtl w:val="0"/>
        </w:rPr>
        <w:t xml:space="preserve">. Les pôles de compétitivité permettent de labelliser et d’orienter les projets vers des financements adaptés et des partenariats industriels. Les instituts Carnot, quant à eux, jouent un rôle de pont entre recherche et entreprise, en favorisant le </w:t>
      </w:r>
      <w:r w:rsidDel="00000000" w:rsidR="00000000" w:rsidRPr="00000000">
        <w:rPr>
          <w:rFonts w:ascii="Times New Roman" w:cs="Times New Roman" w:eastAsia="Times New Roman" w:hAnsi="Times New Roman"/>
          <w:sz w:val="24"/>
          <w:szCs w:val="24"/>
          <w:rtl w:val="0"/>
        </w:rPr>
        <w:t xml:space="preserve">transfert technologique</w:t>
      </w:r>
      <w:r w:rsidDel="00000000" w:rsidR="00000000" w:rsidRPr="00000000">
        <w:rPr>
          <w:rFonts w:ascii="Times New Roman" w:cs="Times New Roman" w:eastAsia="Times New Roman" w:hAnsi="Times New Roman"/>
          <w:sz w:val="24"/>
          <w:szCs w:val="24"/>
          <w:rtl w:val="0"/>
        </w:rPr>
        <w:t xml:space="preserve">, les collaborations R&amp;D avec l’industrie et la valorisation de résultats à forte valeur ajoutée. Cette étape assure que les innovations scientifiques ou technologiques trouvent un débouché concret sur le marché.</w:t>
      </w:r>
    </w:p>
    <w:p w:rsidR="00000000" w:rsidDel="00000000" w:rsidP="00000000" w:rsidRDefault="00000000" w:rsidRPr="00000000" w14:paraId="0000005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L’ensemble de ces dispositifs converge vers la </w:t>
      </w:r>
      <w:r w:rsidDel="00000000" w:rsidR="00000000" w:rsidRPr="00000000">
        <w:rPr>
          <w:rFonts w:ascii="Times New Roman" w:cs="Times New Roman" w:eastAsia="Times New Roman" w:hAnsi="Times New Roman"/>
          <w:sz w:val="24"/>
          <w:szCs w:val="24"/>
          <w:rtl w:val="0"/>
        </w:rPr>
        <w:t xml:space="preserve">valorisation et le transfert vers le marché</w:t>
      </w:r>
      <w:r w:rsidDel="00000000" w:rsidR="00000000" w:rsidRPr="00000000">
        <w:rPr>
          <w:rFonts w:ascii="Times New Roman" w:cs="Times New Roman" w:eastAsia="Times New Roman" w:hAnsi="Times New Roman"/>
          <w:sz w:val="24"/>
          <w:szCs w:val="24"/>
          <w:rtl w:val="0"/>
        </w:rPr>
        <w:t xml:space="preserve">, que ce soit par la création de startups ou le dépôt de brevets. La coordination entre acteurs (universités, SATT, collectivités et CNRS) permet de réduire les délais, de sécuriser la propriété intellectuelle et de maximiser le potentiel économique et sociétal des innovations. L’approche chronologique assure ainsi un parcours clair et progressif pour les porteurs de projets, depuis la première idée jusqu’à sa concrétisation sur le marché, tout en intégrant sensibilisation, formation, accompagnement technique et financement.</w:t>
      </w:r>
    </w:p>
    <w:p w:rsidR="00000000" w:rsidDel="00000000" w:rsidP="00000000" w:rsidRDefault="00000000" w:rsidRPr="00000000" w14:paraId="00000057">
      <w:pPr>
        <w:numPr>
          <w:ilvl w:val="0"/>
          <w:numId w:val="1"/>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Des relations renforcées entre recherche, monde économique et société</w:t>
      </w:r>
    </w:p>
    <w:p w:rsidR="00000000" w:rsidDel="00000000" w:rsidP="00000000" w:rsidRDefault="00000000" w:rsidRPr="00000000" w14:paraId="0000005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autre force majeure réside dans la qualité des interactions entre les sphères académique, économique et sociétale.</w:t>
      </w:r>
    </w:p>
    <w:p w:rsidR="00000000" w:rsidDel="00000000" w:rsidP="00000000" w:rsidRDefault="00000000" w:rsidRPr="00000000" w14:paraId="0000005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collaborations entre laboratoires et entreprises sont aujourd’hui largement institutionnalisées, notamment via les contrats de recherche, les dispositifs CIFRE ou les partenariats public-privé. Ces relations sont facilitées par des mécanismes comme le mandataire unique pour la propriété intellectuelle, qui simplifie les échanges avec les entreprises et évite une concurrence sur les frais de gestion de dossier selon M. Duplat, </w:t>
      </w:r>
      <w:r w:rsidDel="00000000" w:rsidR="00000000" w:rsidRPr="00000000">
        <w:rPr>
          <w:rFonts w:ascii="Times New Roman" w:cs="Times New Roman" w:eastAsia="Times New Roman" w:hAnsi="Times New Roman"/>
          <w:sz w:val="24"/>
          <w:szCs w:val="24"/>
          <w:rtl w:val="0"/>
        </w:rPr>
        <w:t xml:space="preserve">responsable du service partenariat et valorisation du CNRS.</w:t>
      </w:r>
    </w:p>
    <w:p w:rsidR="00000000" w:rsidDel="00000000" w:rsidP="00000000" w:rsidRDefault="00000000" w:rsidRPr="00000000" w14:paraId="0000005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trajectoires professionnelles illustrent également ce rapprochement permis notamment par le dispositif de mise en disponibilité pour plusieurs années : de nombreux doctorants et chercheurs s’orientent vers l’entrepreneuriat ou intègrent le secteur privé, tout en maintenant des liens avec leur laboratoire d’origine. Des exemples de start-ups issues de la recherche académique montrent la fluidité de ces parcours.</w:t>
      </w:r>
    </w:p>
    <w:p w:rsidR="00000000" w:rsidDel="00000000" w:rsidP="00000000" w:rsidRDefault="00000000" w:rsidRPr="00000000" w14:paraId="0000005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ailleurs, les interactions avec la société civile se renforcent selon Mme Dompnier, Présidente de la ComUE. Des dispositifs comme les Boutiques des Sciences ou les projets portés par la LaBex ASLAN intègrent des acteurs de terrain (associations, collectivités, professionnels de santé), ce qui favorise une innovation ancrée dans les besoins sociaux. De plus, les sciences humaines et sociales (SHS) sont de plus en plus intégrées aux projets innovants, notamment pour analyser les usages, les comportements et les impacts sociétaux des innovations. Un nombre croissant d'appels à projets concerne ce secteur, bien qu’il ne soit pas traditionnellement le plus concerné par ce dispositif.</w:t>
      </w:r>
    </w:p>
    <w:p w:rsidR="00000000" w:rsidDel="00000000" w:rsidP="00000000" w:rsidRDefault="00000000" w:rsidRPr="00000000" w14:paraId="0000005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les collectivités territoriales jouent un rôle croissant en finançant des expérimentations et en formulant des problématiques concrètes, notamment dans des domaines comme l’urbanisme ou la transition écologique.</w:t>
      </w:r>
    </w:p>
    <w:p w:rsidR="00000000" w:rsidDel="00000000" w:rsidP="00000000" w:rsidRDefault="00000000" w:rsidRPr="00000000" w14:paraId="0000005D">
      <w:pPr>
        <w:numPr>
          <w:ilvl w:val="0"/>
          <w:numId w:val="1"/>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Une diversité et une complémentarité des sources de financement</w:t>
      </w:r>
    </w:p>
    <w:p w:rsidR="00000000" w:rsidDel="00000000" w:rsidP="00000000" w:rsidRDefault="00000000" w:rsidRPr="00000000" w14:paraId="0000005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L’écosystème lyonnais se distingue par la multiplicité des sources de financement mobilisables pour soutenir l’innovation.</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financements publics constituent un socle important :</w:t>
      </w:r>
    </w:p>
    <w:p w:rsidR="00000000" w:rsidDel="00000000" w:rsidP="00000000" w:rsidRDefault="00000000" w:rsidRPr="00000000" w14:paraId="00000060">
      <w:pPr>
        <w:numPr>
          <w:ilvl w:val="0"/>
          <w:numId w:val="5"/>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État (appels à projets, programmes nationaux) ;</w:t>
      </w:r>
    </w:p>
    <w:p w:rsidR="00000000" w:rsidDel="00000000" w:rsidP="00000000" w:rsidRDefault="00000000" w:rsidRPr="00000000" w14:paraId="00000061">
      <w:pPr>
        <w:numPr>
          <w:ilvl w:val="0"/>
          <w:numId w:val="5"/>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DRARI avec les thèses CIFRE ;</w:t>
      </w:r>
    </w:p>
    <w:p w:rsidR="00000000" w:rsidDel="00000000" w:rsidP="00000000" w:rsidRDefault="00000000" w:rsidRPr="00000000" w14:paraId="00000062">
      <w:pPr>
        <w:numPr>
          <w:ilvl w:val="0"/>
          <w:numId w:val="5"/>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Financements régionaux et métropolitains.</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structures spécifiques jouent également un rôle clé :</w:t>
      </w:r>
    </w:p>
    <w:p w:rsidR="00000000" w:rsidDel="00000000" w:rsidP="00000000" w:rsidRDefault="00000000" w:rsidRPr="00000000" w14:paraId="00000064">
      <w:pPr>
        <w:numPr>
          <w:ilvl w:val="0"/>
          <w:numId w:val="4"/>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SATT Pulsalys finance les phases de maturation ;</w:t>
      </w:r>
    </w:p>
    <w:p w:rsidR="00000000" w:rsidDel="00000000" w:rsidP="00000000" w:rsidRDefault="00000000" w:rsidRPr="00000000" w14:paraId="00000065">
      <w:pPr>
        <w:numPr>
          <w:ilvl w:val="0"/>
          <w:numId w:val="4"/>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CNRS et d’autres organismes accompagnent les projets via des subventions et des contrats, cherchent à répondre à des appels à projets de l’Europe et de l’Agence Nationale de la Recherche ;</w:t>
      </w:r>
    </w:p>
    <w:p w:rsidR="00000000" w:rsidDel="00000000" w:rsidP="00000000" w:rsidRDefault="00000000" w:rsidRPr="00000000" w14:paraId="00000066">
      <w:pPr>
        <w:numPr>
          <w:ilvl w:val="0"/>
          <w:numId w:val="4"/>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instituts Carnot favorisent la recherche partenariale.</w:t>
      </w:r>
    </w:p>
    <w:p w:rsidR="00000000" w:rsidDel="00000000" w:rsidP="00000000" w:rsidRDefault="00000000" w:rsidRPr="00000000" w14:paraId="00000067">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Banque Publique d’Investissement, comme souligné dans plusieurs entretiens, est un pilier du financement du transfert technologique dans ces dernières étapes, et permet de rassurer les investisseurs privés.</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financements privés complètent cet ensemble, notamment via :</w:t>
      </w:r>
    </w:p>
    <w:p w:rsidR="00000000" w:rsidDel="00000000" w:rsidP="00000000" w:rsidRDefault="00000000" w:rsidRPr="00000000" w14:paraId="00000069">
      <w:pPr>
        <w:numPr>
          <w:ilvl w:val="0"/>
          <w:numId w:val="6"/>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levées de fonds ;</w:t>
      </w:r>
    </w:p>
    <w:p w:rsidR="00000000" w:rsidDel="00000000" w:rsidP="00000000" w:rsidRDefault="00000000" w:rsidRPr="00000000" w14:paraId="0000006A">
      <w:pPr>
        <w:numPr>
          <w:ilvl w:val="0"/>
          <w:numId w:val="6"/>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investisseurs spécialisés (notamment en santé) ;</w:t>
      </w:r>
    </w:p>
    <w:p w:rsidR="00000000" w:rsidDel="00000000" w:rsidP="00000000" w:rsidRDefault="00000000" w:rsidRPr="00000000" w14:paraId="0000006B">
      <w:pPr>
        <w:numPr>
          <w:ilvl w:val="0"/>
          <w:numId w:val="6"/>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partenariats industriels.</w:t>
      </w:r>
    </w:p>
    <w:p w:rsidR="00000000" w:rsidDel="00000000" w:rsidP="00000000" w:rsidRDefault="00000000" w:rsidRPr="00000000" w14:paraId="0000006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les financements européens représentent une opportunité importante, bien que leur accès reste compétitif et nécessite un accompagnement spécifique.</w:t>
      </w:r>
    </w:p>
    <w:p w:rsidR="00000000" w:rsidDel="00000000" w:rsidP="00000000" w:rsidRDefault="00000000" w:rsidRPr="00000000" w14:paraId="0000006D">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diversité permet de couvrir l’ensemble du cycle de vie des projets innovants, depuis la recherche fondamentale jusqu’à l’industrialisation.</w:t>
      </w: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III. Les difficultés et les doublons au sein de l’écosystème de l’innovation à Lyon/Saint-Etienne</w:t>
      </w:r>
    </w:p>
    <w:p w:rsidR="00000000" w:rsidDel="00000000" w:rsidP="00000000" w:rsidRDefault="00000000" w:rsidRPr="00000000" w14:paraId="0000007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L’écosystème d’innovation du site académique Lyon–Saint-Étienne se caractérise par un nombre important d’acteurs et de dispositifs, formant un environnement riche et structuré, porteur d’un réel potentiel scientifique et institutionnel. Cependant, l’analyse des entretiens met en évidence plusieurs défis structurels, marqués par des manquements et des effets de redondance. Ces difficultés tiennent moins à un manque de ressources qu’à des problèmes de coordination, de lisibilité et d’articulation entre les initiatives. Elles se déclinent à la fois à un niveau transversal, affectant l’ensemble de l’écosystème, et à un niveau plus sectoriel ou institutionnel.</w:t>
      </w:r>
    </w:p>
    <w:p w:rsidR="00000000" w:rsidDel="00000000" w:rsidP="00000000" w:rsidRDefault="00000000" w:rsidRPr="00000000" w14:paraId="0000007C">
      <w:pPr>
        <w:pStyle w:val="Heading1"/>
        <w:keepNext w:val="0"/>
        <w:keepLines w:val="0"/>
        <w:numPr>
          <w:ilvl w:val="0"/>
          <w:numId w:val="2"/>
        </w:numPr>
        <w:spacing w:after="0" w:afterAutospacing="0" w:before="480" w:lineRule="auto"/>
        <w:ind w:left="720" w:hanging="360"/>
        <w:jc w:val="both"/>
        <w:rPr>
          <w:rFonts w:ascii="Times New Roman" w:cs="Times New Roman" w:eastAsia="Times New Roman" w:hAnsi="Times New Roman"/>
          <w:b w:val="1"/>
          <w:bCs w:val="1"/>
          <w:sz w:val="24"/>
          <w:szCs w:val="24"/>
        </w:rPr>
      </w:pPr>
      <w:bookmarkStart w:colFirst="0" w:colLast="0" w:name="_q2w9mrfmdrqi" w:id="0"/>
      <w:bookmarkEnd w:id="0"/>
      <w:r w:rsidDel="00000000" w:rsidR="00000000" w:rsidRPr="00000000">
        <w:rPr>
          <w:rFonts w:ascii="Times New Roman" w:cs="Times New Roman" w:eastAsia="Times New Roman" w:hAnsi="Times New Roman"/>
          <w:b w:val="1"/>
          <w:bCs w:val="1"/>
          <w:sz w:val="24"/>
          <w:szCs w:val="24"/>
          <w:u w:val="single"/>
          <w:rtl w:val="0"/>
        </w:rPr>
        <w:t xml:space="preserve">Des défis transversaux de l’écosystème de l’innovation de Lyon-Saint-Etienne</w:t>
      </w:r>
      <w:r w:rsidDel="00000000" w:rsidR="00000000" w:rsidRPr="00000000">
        <w:rPr>
          <w:rtl w:val="0"/>
        </w:rPr>
      </w:r>
    </w:p>
    <w:p w:rsidR="00000000" w:rsidDel="00000000" w:rsidP="00000000" w:rsidRDefault="00000000" w:rsidRPr="00000000" w14:paraId="0000007D">
      <w:pPr>
        <w:pStyle w:val="Heading2"/>
        <w:keepNext w:val="0"/>
        <w:keepLines w:val="0"/>
        <w:numPr>
          <w:ilvl w:val="0"/>
          <w:numId w:val="9"/>
        </w:numPr>
        <w:spacing w:after="80" w:before="0" w:beforeAutospacing="0" w:lineRule="auto"/>
        <w:ind w:left="720" w:hanging="360"/>
        <w:jc w:val="both"/>
        <w:rPr>
          <w:rFonts w:ascii="Times New Roman" w:cs="Times New Roman" w:eastAsia="Times New Roman" w:hAnsi="Times New Roman"/>
          <w:sz w:val="24"/>
          <w:szCs w:val="24"/>
          <w:u w:val="none"/>
        </w:rPr>
      </w:pPr>
      <w:bookmarkStart w:colFirst="0" w:colLast="0" w:name="_sb3mgjskrvc" w:id="1"/>
      <w:bookmarkEnd w:id="1"/>
      <w:r w:rsidDel="00000000" w:rsidR="00000000" w:rsidRPr="00000000">
        <w:rPr>
          <w:rFonts w:ascii="Times New Roman" w:cs="Times New Roman" w:eastAsia="Times New Roman" w:hAnsi="Times New Roman"/>
          <w:sz w:val="24"/>
          <w:szCs w:val="24"/>
          <w:u w:val="single"/>
          <w:rtl w:val="0"/>
        </w:rPr>
        <w:t xml:space="preserve">Défis liés à la coordination stratégique entre les dispositifs d’innovation</w:t>
      </w:r>
    </w:p>
    <w:p w:rsidR="00000000" w:rsidDel="00000000" w:rsidP="00000000" w:rsidRDefault="00000000" w:rsidRPr="00000000" w14:paraId="0000007E">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L’analyse des entretiens met en évidence que les difficultés de coordination constituent un frein structurel majeur à l’efficacité de l’écosystème Lyon–Saint-Étienne. Elles s’expliquent d’abord par une fragmentation institutionnelle persistante : la multiplicité des tutelles et des structures de valorisation engendre une duplication des procédures administratives, alourdit la gestion des projets et complexifie les arbitrages en matière de propriété intellectuelle. Cette superposition d’acteurs s’accompagne de logiques concurrentielles entre établissements, résultant en redondances de dispositifs et une dispersion des ressources. À cela s’ajoute un déficit de pilotage stratégique unifié, marqué par l’absence d’outils transversaux permettant d’accompagner les projets de manière continue, notamment dans les phases amont de maturation. </w:t>
      </w:r>
      <w:r w:rsidDel="00000000" w:rsidR="00000000" w:rsidRPr="00000000">
        <w:rPr>
          <w:rtl w:val="0"/>
        </w:rPr>
      </w:r>
    </w:p>
    <w:p w:rsidR="00000000" w:rsidDel="00000000" w:rsidP="00000000" w:rsidRDefault="00000000" w:rsidRPr="00000000" w14:paraId="0000007F">
      <w:pPr>
        <w:pStyle w:val="Heading2"/>
        <w:keepNext w:val="0"/>
        <w:keepLines w:val="0"/>
        <w:numPr>
          <w:ilvl w:val="0"/>
          <w:numId w:val="9"/>
        </w:numPr>
        <w:spacing w:after="80" w:lineRule="auto"/>
        <w:ind w:left="720" w:hanging="360"/>
        <w:jc w:val="both"/>
        <w:rPr>
          <w:rFonts w:ascii="Times New Roman" w:cs="Times New Roman" w:eastAsia="Times New Roman" w:hAnsi="Times New Roman"/>
          <w:sz w:val="24"/>
          <w:szCs w:val="24"/>
          <w:u w:val="none"/>
        </w:rPr>
      </w:pPr>
      <w:bookmarkStart w:colFirst="0" w:colLast="0" w:name="_jrpmg2x6vo0p" w:id="2"/>
      <w:bookmarkEnd w:id="2"/>
      <w:r w:rsidDel="00000000" w:rsidR="00000000" w:rsidRPr="00000000">
        <w:rPr>
          <w:rFonts w:ascii="Times New Roman" w:cs="Times New Roman" w:eastAsia="Times New Roman" w:hAnsi="Times New Roman"/>
          <w:sz w:val="24"/>
          <w:szCs w:val="24"/>
          <w:u w:val="single"/>
          <w:rtl w:val="0"/>
        </w:rPr>
        <w:t xml:space="preserve">Une lisibilité limitée de l’écosystème de l’innovation</w:t>
      </w:r>
    </w:p>
    <w:p w:rsidR="00000000" w:rsidDel="00000000" w:rsidP="00000000" w:rsidRDefault="00000000" w:rsidRPr="00000000" w14:paraId="0000008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Ensuite, les entretiens démontrent que la lisibilité constitue un enjeu stratégique important pour l’écosystème Lyon–Saint-Étienne, conditionnant directement son accessibilité et son appropriation par les acteurs externes. Elle est d’abord entravée par une difficulté persistante à identifier les bons interlocuteurs et à appréhender une offre académique perçue comme dispersée, ce qui complexifie l’initiation de collaborations. Cette opacité est renforcée par une accumulation de dispositifs dont la coexistence, faute de clarification, nuit à la compréhension globale du système. Par ailleurs, des obstacles d’ordre sémantique limitent l’appropriation des enjeux d’innovation : le recours à un vocabulaire technique, ainsi que l’ambiguïté entre recherche et innovation, brouillent la lecture des dispositifs et de leurs finalités. À cela s’ajoute un déficit de mise en accessibilité des résultats scientifiques, qui freine leur mobilisation par les acteurs opérationnels. </w:t>
      </w:r>
    </w:p>
    <w:p w:rsidR="00000000" w:rsidDel="00000000" w:rsidP="00000000" w:rsidRDefault="00000000" w:rsidRPr="00000000" w14:paraId="00000081">
      <w:pPr>
        <w:numPr>
          <w:ilvl w:val="0"/>
          <w:numId w:val="9"/>
        </w:numPr>
        <w:spacing w:after="24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Des contraintes liées aux financements et à la pérennité des dispositifs</w:t>
      </w:r>
    </w:p>
    <w:p w:rsidR="00000000" w:rsidDel="00000000" w:rsidP="00000000" w:rsidRDefault="00000000" w:rsidRPr="00000000" w14:paraId="00000082">
      <w:pPr>
        <w:spacing w:after="100" w:before="10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questions de financement constituent un défi transversal structurant pour l’ensemble de l’écosystème d’innovation du site Lyon–Saint-Étienne. Plusieurs acteurs interrogés évoquent la dépendance de nombreux dispositifs à des financements publics majoritairement structurés autour d’appels à projets compétitifs ou de programmes temporaires, dont la logique génère une instabilité chronique dans les structures de soutien et une difficulté persistante à assurer la continuité des initiatives dans la durée. </w:t>
      </w:r>
    </w:p>
    <w:p w:rsidR="00000000" w:rsidDel="00000000" w:rsidP="00000000" w:rsidRDefault="00000000" w:rsidRPr="00000000" w14:paraId="00000083">
      <w:pPr>
        <w:spacing w:after="100" w:before="10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constat est également retrouvé dans l’enquête </w:t>
      </w:r>
      <w:r w:rsidDel="00000000" w:rsidR="00000000" w:rsidRPr="00000000">
        <w:rPr>
          <w:rFonts w:ascii="Times New Roman" w:cs="Times New Roman" w:eastAsia="Times New Roman" w:hAnsi="Times New Roman"/>
          <w:i w:val="1"/>
          <w:iCs w:val="1"/>
          <w:sz w:val="24"/>
          <w:szCs w:val="24"/>
          <w:rtl w:val="0"/>
        </w:rPr>
        <w:t xml:space="preserve">Grandeur et servitudes de l’entrepreneur académique</w:t>
      </w:r>
      <w:r w:rsidDel="00000000" w:rsidR="00000000" w:rsidRPr="00000000">
        <w:rPr>
          <w:rFonts w:ascii="Times New Roman" w:cs="Times New Roman" w:eastAsia="Times New Roman" w:hAnsi="Times New Roman"/>
          <w:sz w:val="24"/>
          <w:szCs w:val="24"/>
          <w:rtl w:val="0"/>
        </w:rPr>
        <w:t xml:space="preserve"> (Bergadaà &amp; Livian, 2026, Cahiers de l’IRAFPA), conduite auprès de 234 enseignants-chercheurs francophones expérimentés, qui documente à grande échelle les effets négatifs de cette manière de financement : loin de stimuler la créativité scientifique, elle tend à produire ce que les auteurs nomment une « inversion de causalité », dans laquelle ce ne sont plus les questions scientifiques qui génèrent des projets en quête de financement, mais plutôt les appels d’offres déjà disponibles qui définissent les projets que les chercheurs acceptent de mener. Les taux de succès structurellement faibles, à savoir autour de 13 % pour l’ANR en France, souvent inférieurs à 10 % pour certains programmes européens, contraignent les acteurs académiques à multiplier les candidatures au détriment du temps de recherche effectif, à adapter opportunément leurs projets aux critères des financeurs, et à soumettre parfois des travaux déjà partiellement aboutis pour sécuriser les livrables attendus, au prix d’un affaiblissement de la prise de risque intellectuelle.</w:t>
      </w:r>
    </w:p>
    <w:p w:rsidR="00000000" w:rsidDel="00000000" w:rsidP="00000000" w:rsidRDefault="00000000" w:rsidRPr="00000000" w14:paraId="00000084">
      <w:pPr>
        <w:spacing w:after="100" w:before="10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Au-delà de cela, c’est la pérennité même des dispositifs collectifs qui est fragilisée : incubateurs, cellules de valorisation, programmes d’accompagnement à l’entrepreneuriat étudiant, structures de prématuration dépendent pour tout ou partie de leur fonctionnement de financements à durée déterminée dont le non-renouvellement constitue une menace permanente, entraînant des pertes de mémoire institutionnelle, de compétences accumulées et de réseaux de confiance patiemment construits. C’est précisément dans les phases amont du processus d’innovation (ex. émergence des idées, premières expérimentations, prématuration précoce) que ce déficit de financement est le plus marquant. En effet, les dispositifs disponibles, conçus pour des projets ayant déjà atteint un seuil minimal de maturité, laissent sans réponse adaptée les porteurs d’idées encore trop embryonnaires pour accéder à la SATT ou aux appels à projets nationaux, et pas assez soutenues pour traverser seules la « vallée de la mort » qui sépare l’intuition scientifique du projet innovant structuré. </w:t>
      </w:r>
    </w:p>
    <w:p w:rsidR="00000000" w:rsidDel="00000000" w:rsidP="00000000" w:rsidRDefault="00000000" w:rsidRPr="00000000" w14:paraId="00000085">
      <w:pPr>
        <w:spacing w:after="100" w:before="10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Bergadaà &amp; Livian (2026) attirent l’attention sur un risque rarement nommé mais documenté par leur enquête : la pression cumulée du financement par projet, de la bureaucratie croissante et de la logique de performance à court terme fragilise l’intégrité académique elle-même, en poussant des chercheurs vers des comportements adaptatifs aux frontières de l’éthique (ex. recyclage de dossiers, citation de coauteurs non contributeurs, présentation de projets déjà aboutis comme des projets à venir) dont la première cause n’est pas la malhonnêteté individuelle mais bien une architecture systémique d’incitations mal calibrées. Ce constat, bien que principalement documenté à l’échelle nationale et internationale, invite à interroger les dynamiques locales, et démontre la nécessité d’une construction, à l’échelle du site Lyon–Saint-Étienne, d’un modèle de financement de l’innovation plus diversifié, plus stable et mieux articulé aux temporalités réelles de la production scientifique et de la maturation des projets innovants.</w:t>
      </w:r>
    </w:p>
    <w:p w:rsidR="00000000" w:rsidDel="00000000" w:rsidP="00000000" w:rsidRDefault="00000000" w:rsidRPr="00000000" w14:paraId="0000008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Style w:val="Heading2"/>
        <w:keepNext w:val="0"/>
        <w:keepLines w:val="0"/>
        <w:numPr>
          <w:ilvl w:val="0"/>
          <w:numId w:val="9"/>
        </w:numPr>
        <w:spacing w:after="80" w:lineRule="auto"/>
        <w:ind w:left="720" w:hanging="360"/>
        <w:jc w:val="both"/>
        <w:rPr>
          <w:rFonts w:ascii="Times New Roman" w:cs="Times New Roman" w:eastAsia="Times New Roman" w:hAnsi="Times New Roman"/>
          <w:sz w:val="24"/>
          <w:szCs w:val="24"/>
          <w:u w:val="none"/>
        </w:rPr>
      </w:pPr>
      <w:bookmarkStart w:colFirst="0" w:colLast="0" w:name="_v6zady4m16bp" w:id="3"/>
      <w:bookmarkEnd w:id="3"/>
      <w:r w:rsidDel="00000000" w:rsidR="00000000" w:rsidRPr="00000000">
        <w:rPr>
          <w:rFonts w:ascii="Times New Roman" w:cs="Times New Roman" w:eastAsia="Times New Roman" w:hAnsi="Times New Roman"/>
          <w:sz w:val="24"/>
          <w:szCs w:val="24"/>
          <w:u w:val="single"/>
          <w:rtl w:val="0"/>
        </w:rPr>
        <w:t xml:space="preserve">Une surcharge administrative et un manque de temps dédiés à l’innovation</w:t>
      </w:r>
    </w:p>
    <w:p w:rsidR="00000000" w:rsidDel="00000000" w:rsidP="00000000" w:rsidRDefault="00000000" w:rsidRPr="00000000" w14:paraId="0000008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autre défi transversal concerne les contraintes de temps et les charges administratives pesant sur les acteurs de l’innovation, en particulier les chercheurs et les professionnels hospitaliers.</w:t>
      </w:r>
    </w:p>
    <w:p w:rsidR="00000000" w:rsidDel="00000000" w:rsidP="00000000" w:rsidRDefault="00000000" w:rsidRPr="00000000" w14:paraId="0000008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activités d’innovation viennent en effet s’ajouter à des missions déjà nombreuses, liées notamment aux activités de recherche, d’enseignement ou de soins. Dans ce contexte, le manque de temps disponible pour développer des projets d’innovation constitue un frein important à l’engagement des chercheurs et des praticiens. Par ailleurs, plusieurs interlocuteurs soulignent la complexité des procédures administratives associées aux démarches d’innovation. Les processus liés à la propriété intellectuelle, à la contractualisation ou aux interactions avec les structures de transfert de technologies peuvent être perçus comme longs et parfois difficiles à appréhender pour les porteurs de projets.</w:t>
      </w:r>
    </w:p>
    <w:p w:rsidR="00000000" w:rsidDel="00000000" w:rsidP="00000000" w:rsidRDefault="00000000" w:rsidRPr="00000000" w14:paraId="0000008A">
      <w:pPr>
        <w:pStyle w:val="Heading2"/>
        <w:keepNext w:val="0"/>
        <w:keepLines w:val="0"/>
        <w:numPr>
          <w:ilvl w:val="0"/>
          <w:numId w:val="9"/>
        </w:numPr>
        <w:spacing w:after="80" w:lineRule="auto"/>
        <w:ind w:left="720" w:hanging="360"/>
        <w:jc w:val="both"/>
        <w:rPr>
          <w:rFonts w:ascii="Times New Roman" w:cs="Times New Roman" w:eastAsia="Times New Roman" w:hAnsi="Times New Roman"/>
          <w:sz w:val="24"/>
          <w:szCs w:val="24"/>
          <w:u w:val="none"/>
        </w:rPr>
      </w:pPr>
      <w:bookmarkStart w:colFirst="0" w:colLast="0" w:name="_2ys3juvovjqd" w:id="4"/>
      <w:bookmarkEnd w:id="4"/>
      <w:r w:rsidDel="00000000" w:rsidR="00000000" w:rsidRPr="00000000">
        <w:rPr>
          <w:rFonts w:ascii="Times New Roman" w:cs="Times New Roman" w:eastAsia="Times New Roman" w:hAnsi="Times New Roman"/>
          <w:sz w:val="24"/>
          <w:szCs w:val="24"/>
          <w:u w:val="single"/>
          <w:rtl w:val="0"/>
        </w:rPr>
        <w:t xml:space="preserve">Des déséquilibres territoriaux </w:t>
      </w:r>
    </w:p>
    <w:p w:rsidR="00000000" w:rsidDel="00000000" w:rsidP="00000000" w:rsidRDefault="00000000" w:rsidRPr="00000000" w14:paraId="0000008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l’analyse met en évidence que des déséquilibres territoriaux persistants, en particulier au détriment de Saint-Étienne, freinent la circulation de l’information et l’accès aux ressources au sein de l’écosystème. La concentration des lieux de décision et des espaces d’animation à Lyon agit comme un filtre, limitant la participation des acteurs stéphanois et entraînant une diffusion incomplète des opportunités de financement et d’accompagnement. Cette rupture dans la chaîne d’information fragilise l’intégration de Saint-Étienne, alimente des méconnaissances réciproques et réduit la cohérence d’ensemble du site, tout en compliquant son identification par les partenaires extérieurs. Malgré l’émergence de dispositifs de relais et d’initiatives de coordination, ces efforts restent encore insuffisants pour assurer une circulation pleinement fluide, équilibrée et inclusive de l’information à l’échelle du territoire.</w:t>
      </w:r>
      <w:r w:rsidDel="00000000" w:rsidR="00000000" w:rsidRPr="00000000">
        <w:rPr>
          <w:rtl w:val="0"/>
        </w:rPr>
      </w:r>
    </w:p>
    <w:p w:rsidR="00000000" w:rsidDel="00000000" w:rsidP="00000000" w:rsidRDefault="00000000" w:rsidRPr="00000000" w14:paraId="0000008C">
      <w:pPr>
        <w:pStyle w:val="Heading1"/>
        <w:keepNext w:val="0"/>
        <w:keepLines w:val="0"/>
        <w:numPr>
          <w:ilvl w:val="0"/>
          <w:numId w:val="2"/>
        </w:numPr>
        <w:spacing w:after="0" w:afterAutospacing="0" w:before="480" w:lineRule="auto"/>
        <w:ind w:left="720" w:hanging="360"/>
        <w:jc w:val="both"/>
        <w:rPr>
          <w:rFonts w:ascii="Times New Roman" w:cs="Times New Roman" w:eastAsia="Times New Roman" w:hAnsi="Times New Roman"/>
          <w:b w:val="1"/>
          <w:bCs w:val="1"/>
          <w:sz w:val="24"/>
          <w:szCs w:val="24"/>
        </w:rPr>
      </w:pPr>
      <w:bookmarkStart w:colFirst="0" w:colLast="0" w:name="_3bbv53hdub1x" w:id="5"/>
      <w:bookmarkEnd w:id="5"/>
      <w:r w:rsidDel="00000000" w:rsidR="00000000" w:rsidRPr="00000000">
        <w:rPr>
          <w:rFonts w:ascii="Times New Roman" w:cs="Times New Roman" w:eastAsia="Times New Roman" w:hAnsi="Times New Roman"/>
          <w:b w:val="1"/>
          <w:bCs w:val="1"/>
          <w:sz w:val="24"/>
          <w:szCs w:val="24"/>
          <w:u w:val="single"/>
          <w:rtl w:val="0"/>
        </w:rPr>
        <w:t xml:space="preserve">Des difficultés spécifiques aux secteurs</w:t>
      </w:r>
    </w:p>
    <w:p w:rsidR="00000000" w:rsidDel="00000000" w:rsidP="00000000" w:rsidRDefault="00000000" w:rsidRPr="00000000" w14:paraId="0000008D">
      <w:pPr>
        <w:pStyle w:val="Heading2"/>
        <w:keepNext w:val="0"/>
        <w:keepLines w:val="0"/>
        <w:numPr>
          <w:ilvl w:val="0"/>
          <w:numId w:val="3"/>
        </w:numPr>
        <w:spacing w:after="80" w:before="0" w:beforeAutospacing="0" w:lineRule="auto"/>
        <w:ind w:left="720" w:hanging="360"/>
        <w:jc w:val="both"/>
        <w:rPr>
          <w:rFonts w:ascii="Times New Roman" w:cs="Times New Roman" w:eastAsia="Times New Roman" w:hAnsi="Times New Roman"/>
          <w:sz w:val="24"/>
          <w:szCs w:val="24"/>
          <w:u w:val="none"/>
        </w:rPr>
      </w:pPr>
      <w:bookmarkStart w:colFirst="0" w:colLast="0" w:name="_sli6hgjk7btx" w:id="6"/>
      <w:bookmarkEnd w:id="6"/>
      <w:r w:rsidDel="00000000" w:rsidR="00000000" w:rsidRPr="00000000">
        <w:rPr>
          <w:rFonts w:ascii="Times New Roman" w:cs="Times New Roman" w:eastAsia="Times New Roman" w:hAnsi="Times New Roman"/>
          <w:sz w:val="24"/>
          <w:szCs w:val="24"/>
          <w:u w:val="single"/>
          <w:rtl w:val="0"/>
        </w:rPr>
        <w:t xml:space="preserve">Les difficultés spécifiques au secteur de la santé </w:t>
      </w:r>
    </w:p>
    <w:p w:rsidR="00000000" w:rsidDel="00000000" w:rsidP="00000000" w:rsidRDefault="00000000" w:rsidRPr="00000000" w14:paraId="0000008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secteur de la santé se distingue par une structuration avancée mais fortement contrainte par des barrières organisationnelles et économiques majeures. Le premier frein identifié est le manque de temps protégé pour les professionnels de santé, qui limite leur capacité à participer aux projets d’innovation. À cela s’ajoute le coût extrêmement élevé des essais cliniques, qui crée une dépendance forte aux financements externes et aux levées de fonds. Malgré l’existence de structures pivot jouant un rôle de guichet unique, le secteur reste soumis à une forte intensité administrative et à des exigences réglementaires lourdes. Enfin, la valorisation des données de santé (IA, Big Data) reste encore inégalement exploitée en raison de contraintes d’accès et d’intégration.</w:t>
      </w:r>
    </w:p>
    <w:p w:rsidR="00000000" w:rsidDel="00000000" w:rsidP="00000000" w:rsidRDefault="00000000" w:rsidRPr="00000000" w14:paraId="0000008F">
      <w:pPr>
        <w:pStyle w:val="Heading2"/>
        <w:keepNext w:val="0"/>
        <w:keepLines w:val="0"/>
        <w:numPr>
          <w:ilvl w:val="0"/>
          <w:numId w:val="3"/>
        </w:numPr>
        <w:spacing w:after="80" w:lineRule="auto"/>
        <w:ind w:left="720" w:hanging="360"/>
        <w:jc w:val="both"/>
        <w:rPr>
          <w:rFonts w:ascii="Times New Roman" w:cs="Times New Roman" w:eastAsia="Times New Roman" w:hAnsi="Times New Roman"/>
          <w:sz w:val="24"/>
          <w:szCs w:val="24"/>
          <w:u w:val="none"/>
        </w:rPr>
      </w:pPr>
      <w:bookmarkStart w:colFirst="0" w:colLast="0" w:name="_xnpr73y289dw" w:id="7"/>
      <w:bookmarkEnd w:id="7"/>
      <w:r w:rsidDel="00000000" w:rsidR="00000000" w:rsidRPr="00000000">
        <w:rPr>
          <w:rFonts w:ascii="Times New Roman" w:cs="Times New Roman" w:eastAsia="Times New Roman" w:hAnsi="Times New Roman"/>
          <w:sz w:val="24"/>
          <w:szCs w:val="24"/>
          <w:u w:val="single"/>
          <w:rtl w:val="0"/>
        </w:rPr>
        <w:t xml:space="preserve">Les difficultés spécifiques au secteur des Sciences Humaines et Sociales (SHS)</w:t>
      </w:r>
    </w:p>
    <w:p w:rsidR="00000000" w:rsidDel="00000000" w:rsidP="00000000" w:rsidRDefault="00000000" w:rsidRPr="00000000" w14:paraId="00000090">
      <w:pPr>
        <w:ind w:left="0" w:firstLine="0"/>
        <w:rPr/>
      </w:pPr>
      <w:r w:rsidDel="00000000" w:rsidR="00000000" w:rsidRPr="00000000">
        <w:rPr>
          <w:rtl w:val="0"/>
        </w:rPr>
      </w:r>
    </w:p>
    <w:p w:rsidR="00000000" w:rsidDel="00000000" w:rsidP="00000000" w:rsidRDefault="00000000" w:rsidRPr="00000000" w14:paraId="00000091">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dispositifs actuels restent souvent centrés sur l’innovation technologique et la création de startups, tandis que les innovations sociales, pédagogiques ou organisationnelles apparaissent moins visibles et moins structurées institutionnellement. Dans ce contexte, le terme même d’« innovation » peut susciter des réticences où il est parfois associé à des logiques de valorisation économique. Cette perception contribue à une forme de fragilité de la reconnaissance de ces disciplines dans les politiques d’innovation. Par ailleurs, l’impact des SHS reste difficile à objectiver via les indicateurs classiques (brevets, chiffre d’affaires), alors même qu’il se traduit par des effets diffus et de long terme sur les organisations et les pratiques sociales, ce qui limite leur visibilité dans les dispositifs de financement.</w:t>
      </w:r>
    </w:p>
    <w:p w:rsidR="00000000" w:rsidDel="00000000" w:rsidP="00000000" w:rsidRDefault="00000000" w:rsidRPr="00000000" w14:paraId="0000009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les outils d’accompagnement à la valorisation demeurent encore peu adaptés à leurs spécificités, avec des expertises dédiées insuffisamment développées au sein des structures de transfert.</w:t>
      </w:r>
      <w:r w:rsidDel="00000000" w:rsidR="00000000" w:rsidRPr="00000000">
        <w:rPr>
          <w:rtl w:val="0"/>
        </w:rPr>
      </w:r>
    </w:p>
    <w:p w:rsidR="00000000" w:rsidDel="00000000" w:rsidP="00000000" w:rsidRDefault="00000000" w:rsidRPr="00000000" w14:paraId="00000093">
      <w:pPr>
        <w:numPr>
          <w:ilvl w:val="0"/>
          <w:numId w:val="3"/>
        </w:numPr>
        <w:spacing w:after="24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Les difficultés liées au secteur de l'entreprenariat (deeptech et transfert de technologies)</w:t>
      </w:r>
    </w:p>
    <w:p w:rsidR="00000000" w:rsidDel="00000000" w:rsidP="00000000" w:rsidRDefault="00000000" w:rsidRPr="00000000" w14:paraId="00000094">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secteur, marqué par une forte dynamique entrepreneuriale, présente des enjeux de gouvernance. Des divergences peuvent apparaître entre investisseurs et chercheurs concernant les orientations futures d’une technologie, y compris en amont de sa phase de commercialisation. Ces situations sont souvent liées à des différences de profils et de logiques d’action entre porteurs de projets académiques et acteurs davantage orientés vers la gestion ou le développement stratégique, ce qui peut rendre l’alignement plus complexe. Pour renforcer la confiance entre les parties prenantes, le secteur mobilise parfois des experts scientifiques seniors jouant un rôle de validation technique. Ils contribuent à attester de la solidité scientifique des projets et à soutenir leur crédibilité auprès des investisseurs, notamment dans le cadre des levées de fonds.</w:t>
      </w:r>
    </w:p>
    <w:p w:rsidR="00000000" w:rsidDel="00000000" w:rsidP="00000000" w:rsidRDefault="00000000" w:rsidRPr="00000000" w14:paraId="0000009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lorsque le financement est assuré par de grands groupes, des contraintes opérationnelles peuvent apparaître. Les dirigeants de ces structures disposant souvent de peu de disponibilité pour un accompagnement quotidien, l’intensité du suivi peut varier. Cela peut constituer un facteur parmi d’autres influençant le développement des start-ups, en complément des enjeux liés à la continuité entre la phase de recherche, l’incubation et le passage à l’échelle.</w:t>
      </w:r>
      <w:r w:rsidDel="00000000" w:rsidR="00000000" w:rsidRPr="00000000">
        <w:rPr>
          <w:rtl w:val="0"/>
        </w:rPr>
      </w:r>
    </w:p>
    <w:p w:rsidR="00000000" w:rsidDel="00000000" w:rsidP="00000000" w:rsidRDefault="00000000" w:rsidRPr="00000000" w14:paraId="00000096">
      <w:pPr>
        <w:numPr>
          <w:ilvl w:val="0"/>
          <w:numId w:val="3"/>
        </w:numPr>
        <w:spacing w:after="24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Les difficultés liées au secteur chimie, mécanique et industrie</w:t>
      </w:r>
    </w:p>
    <w:p w:rsidR="00000000" w:rsidDel="00000000" w:rsidP="00000000" w:rsidRDefault="00000000" w:rsidRPr="00000000" w14:paraId="00000097">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secteur</w:t>
      </w:r>
      <w:r w:rsidDel="00000000" w:rsidR="00000000" w:rsidRPr="00000000">
        <w:rPr>
          <w:rFonts w:ascii="Times New Roman" w:cs="Times New Roman" w:eastAsia="Times New Roman" w:hAnsi="Times New Roman"/>
          <w:sz w:val="24"/>
          <w:szCs w:val="24"/>
          <w:rtl w:val="0"/>
        </w:rPr>
        <w:t xml:space="preserve"> repose sur une forte culture de l’innovation technologique mais présente des enjeux de fragmentation et de concurrence entre acteurs.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La valorisation repose largement sur la propriété intellectuelle, ce qui peut encourager des logiques de compétition entre structures plutôt que de mutualisation. Dans le champ de la mécanique et de l’industrie, malgré des modèles de diffusion structurés, un déficit de coordination entre acteurs industriels, académiques et territoriaux limite parfois la diffusion des innovations vers les PME. Par ailleurs, la multiplication des labels, dispositifs et initiatives crée un risque de dispersion stratégique, réduisant la lisibilité globale du secteur à l’échelle européenne. Enfin, les transitions technologiques (décarbonation, IA, hydrogène) accentuent le besoin de coordination intersectorielle encore </w:t>
      </w:r>
      <w:r w:rsidDel="00000000" w:rsidR="00000000" w:rsidRPr="00000000">
        <w:rPr>
          <w:rFonts w:ascii="Times New Roman" w:cs="Times New Roman" w:eastAsia="Times New Roman" w:hAnsi="Times New Roman"/>
          <w:sz w:val="24"/>
          <w:szCs w:val="24"/>
          <w:rtl w:val="0"/>
        </w:rPr>
        <w:t xml:space="preserve">insuffisante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u w:val="single"/>
          <w:rtl w:val="0"/>
        </w:rPr>
        <w:t xml:space="preserve">IV. Pistes d’amélioration des dispositifs d’innovation sur le site Lyon–Saint-Étienne</w:t>
      </w: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numPr>
          <w:ilvl w:val="0"/>
          <w:numId w:val="10"/>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Solutions actionnables et légitimes </w:t>
      </w:r>
    </w:p>
    <w:p w:rsidR="00000000" w:rsidDel="00000000" w:rsidP="00000000" w:rsidRDefault="00000000" w:rsidRPr="00000000" w14:paraId="0000009C">
      <w:pPr>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9D">
      <w:pPr>
        <w:numPr>
          <w:ilvl w:val="0"/>
          <w:numId w:val="11"/>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Instituer un “temps protégé” et reconnaître pleinement l’innovation dans les missions académiques</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 des enseignements majeurs issus des entretiens, confirmé lors de la restitution, réside dans le décalage persistant entre l’importance stratégique accordée à l’innovation et sa reconnaissance effective dans les trajectoires professionnelles des acteurs académiques. Aujourd’hui, l’innovation demeure largement une activité périphérique, exercée en marge des obligations principales d’enseignement, de recherche ou de soin. Cette situation produit des effets directs sur la capacité du système à générer des projets aboutis : ralentissements, abandon de projets, ou dépendance excessive à l’engagement individuel.</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 contexte, une évolution structurante consisterait à reconnaître explicitement l’innovation comme une mission à part entière des enseignants-chercheurs et des professionnels de santé, conformément à ce qui a été souligné lors de la restitution. Cette reconnaissance doit s’accompagner de dispositifs concrets permettant de la rendre effective. La mise en place d’un “temps protégé” constitue à cet égard un levier central.</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Opérationnellement, cela implique la création de mécanismes de décharge horaire financés, permettant de libérer du temps pour les porteurs de projets. Dans les structures hospitalo-universitaires, cela pourrait se traduire par des dispositifs de remplacement partiel ou de rachat de temps (“buy-outs”), permettant de compenser les activités non assurées. Plusieurs acteurs ont souligné que même des aménagements limités pourraient avoir un effet significatif sur la progression des projets.</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Au-delà de la dimension temporelle, cette évolution suppose également une transformation des modes d’évaluation académique, afin d’intégrer les activités d’innovation dans les critères de reconnaissance professionnelle. Il s’agit ainsi de passer d’un modèle où l’innovation repose sur des initiatives individuelles à un modèle où elle est institutionnellement intégrée et valorisée.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numPr>
          <w:ilvl w:val="0"/>
          <w:numId w:val="11"/>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Renforcer les capacités techniques mutualisées pour lever les blocages opérationnels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entretiens mettent en évidence un blocage récurrent dans la phase de concrétisation des projets, lié à un déficit de compétences techniques, en particulier en matière de développement informatique. Ce constat est particulièrement marqué dans les projets issus des sciences humaines et sociales, mais concerne plus largement l’ensemble des initiatives nécessitant une mise en forme opérationnelle.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 l’illustrent les témoignages d’Audrey Mazur et de Geoffrey Durand, de nombreux projets atteignent un niveau de maturité scientifique élevé sans pouvoir être transformés en outils fonctionnels. Dans certains cas, les projets sont théoriquement finalisés mais restent en attente pendant de longs mois, faute de ressources permettant de produire une interface utilisateur conforme aux attentes des partenaires ou des financeurs.</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répondre à cette difficulté, la création d’un pôle technique mutualisé à l’échelle du site apparaît comme une solution particulièrement pertinente. Ce dispositif permettrait de mobiliser, de manière flexible, des compétences en développement, en design et en ingénierie sur des projets identifiés pour leur potentiel. L’intervention de ces ressources pourrait être structurée sous forme de missions ciblées, visant à produire des prototypes, à finaliser des outils ou à améliorer leur ergonomie.</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telle mutualisation permettrait non seulement d’accélérer les projets, mais également d’en améliorer la qualité et la crédibilité auprès des partenaires externes. Elle répond à un besoin transversal identifié dans les entretiens : la nécessité de disposer de ressources techniques rapidement mobilisables pour transformer des résultats de recherche en solutions concrètes.</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numPr>
          <w:ilvl w:val="0"/>
          <w:numId w:val="11"/>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Favoriser la coordination entre les acteurs sans rigidifier l’écosystème</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question de la coordination constitue un enjeu central, mais doit être abordée avec prudence, comme l’ont souligné plusieurs intervenants lors de la restitution. Si la fragmentation de l’écosystème peut générer des inefficacités, une approche trop centralisée ou trop rigide serait contre-productive, dans la mesure où l’innovation repose par nature sur des dynamiques non linéaires et évolutives.</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perspective, l’objectif ne doit pas être de créer un dispositif unique ou un “guichet central”, mais de renforcer la coordination tout en préservant la flexibilité du système. Cela implique de développer des outils permettant de mieux articuler les acteurs, sans figer les parcours d’innovation.</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piste opérationnelle consiste à mettre en place des outils de suivi partagés, permettant d’assurer une continuité dans l’accompagnement des projets, tout en laissant la possibilité d’adaptations en fonction de leur évolution. Cette logique rejoint les remarques formulées lors de la restitution sur la nécessité de ne pas enfermer l’innovation dans des schémas trop linéaires.</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ailleurs, le maintien du triptyque État–acteurs académiques–entreprises comme cadre structurant permet de conserver une lecture cohérente de l’écosystème, tout en reconnaissant la diversité des trajectoires possibles. L’enjeu est donc moins d’unifier que de rendre les interactions plus lisibles et plus efficaces, en facilitant les coopérations et en réduisant les redondances.</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numPr>
          <w:ilvl w:val="0"/>
          <w:numId w:val="11"/>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Donner de la lisibilité à l’innovation : clarifier les cadres et les usages</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problématique majeure identifiée dans les entretiens et confirmée lors de la restitution concerne la difficulté à saisir ce que recouvre concrètement la notion d’innovation, en particulier pour les chercheurs en sciences humaines et sociales. Le terme lui-même peut apparaître flou, voire inadapté, et ne correspond pas toujours aux pratiques ou aux représentations des acteurs.</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difficulté de définition a des conséquences directes : elle limite l’appropriation des dispositifs, freine l’engagement des chercheurs et contribue à une forme de distance vis-à-vis des politiques d’innovation. Dans ce contexte, un travail de clarification apparaît nécessaire.</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s’agit d’abord de mieux expliciter les différentes formes d’innovation, en intégrant notamment les dimensions sociales, organisationnelles ou territoriales. Cette clarification doit également passer par une meilleure valorisation des besoins auxquels répondent les projets, ainsi que des recherches en cours qui n’ont pas encore trouvé de débouchés économiques.</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Concrètement, cela pourrait se traduire par la production de supports de médiation (guides, exemples, retours d’expérience) permettant de rendre l’innovation plus concrète et plus accessible. L’objectif est de transformer une notion perçue comme abstraite en un ensemble de pratiques identifiables et appropriables.</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numPr>
          <w:ilvl w:val="0"/>
          <w:numId w:val="11"/>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Donner de la visibilité à l’innovation : diffuser, valoriser et connecter les projets</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Au-delà de la lisibilité, les entretiens mettent en évidence un déficit de visibilité des projets innovants, en particulier dans leurs phases d’émergence. De nombreuses initiatives restent peu connues, tant au sein de l’écosystème qu’auprès des acteurs économiques ou institutionnels susceptibles de les soutenir.</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répondre à cet enjeu, il apparaît nécessaire de développer une stratégie active de mise en visibilité des projets, en particulier dans leurs phases amont. Cela suppose de valoriser non seulement les résultats aboutis (brevets, produits), mais également les projets en cours, les besoins identifiés et les dynamiques émergentes.</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perspective, les structures d’accompagnement pourraient jouer un rôle plus actif dans la diffusion de l’information, en organisant des événements de présentation, en développant des outils de communication ciblés ou en facilitant les mises en relation entre porteurs de projets et partenaires potentiels.</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logique rejoint les remarques formulées lors de la restitution sur la nécessité de mieux “créer, diffuser et mobiliser” les projets d’innovation. Elle implique de passer d’une logique de simple mise à disposition de l’information à une logique de diffusion active, visant à connecter les acteurs et à susciter des collaborations.</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numPr>
          <w:ilvl w:val="0"/>
          <w:numId w:val="11"/>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Déployer une stratégie proactive de valorisation et renforcer l’interface avec les acteurs économiques et publics</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entretiens mettent également en évidence les limites d’une approche encore trop passive de la valorisation, notamment en matière de transfert de technologies. Comme l’a souligné M. Vollaire, certaines structures se contentent de rendre les innovations visibles, sans engager de démarche proactive auprès des acteurs susceptibles de les valoriser.</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dépasser cette limite, il apparaît nécessaire de renforcer les fonctions d’interface entre recherche et acteurs économiques et publics. Cela suppose de développer des capacités de prospection, mais aussi de mieux accompagner les acteurs externes dans leur appropriation des innovations.</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piste particulièrement pertinente, évoquée lors de la restitution, consiste à ouvrir davantage les dispositifs aux acteurs non académiques, notamment les collectivités territoriales et les acteurs du secteur de la santé. Cette ouverture permettrait de diversifier les débouchés des projets et de mieux prendre en compte les enjeux territoriaux et sociétaux.</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ailleurs, un travail spécifique doit être mené pour réduire les réticences des acteurs économiques, notamment dans certains secteurs industriels où l’investissement dans l’innovation reste perçu comme risqué. Des dispositifs de sensibilisation et d’accompagnement pourraient contribuer à sécuriser ces investissements et à favoriser l’émergence de collaborations.</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numPr>
          <w:ilvl w:val="0"/>
          <w:numId w:val="11"/>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Mieux intégrer les sciences humaines et sociales dans les politiques d’innovation</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la question de la place des sciences humaines et sociales constitue un enjeu transversal majeur. Les entretiens et la restitution convergent pour souligner que les SHS ne doivent pas être considérées comme un domaine à part, mais comme une composante transversale de l’innovation.</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Toutefois, leur intégration reste limitée par plusieurs facteurs, notamment une image parfois négative ou inadéquate du terme “innovation”, ainsi que des modèles d’évaluation peu adaptés à leurs spécificités. Dans certains cas, cette situation conduit à un désengagement des chercheurs, qui ne se reconnaissent pas dans les dispositifs existants.</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répondre à ces enjeux, il apparaît nécessaire de repenser les cadres d’action, en développant des approches plus inclusives et adaptées. Cela passe notamment par l’introduction de nouveaux critères d’évaluation, centrés non pas uniquement sur l’impact économique, mais sur les transformations produites à moyen et long terme, qu’elles soient sociales, institutionnelles ou territoriales.</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ailleurs, l’intégration des SHS suppose de dépasser les logiques de cloisonnement disciplinaire, en favorisant les collaborations interdisciplinaires et en reconnaissant la contribution spécifique de ces disciplines à la compréhension et à la transformation des sociétés. L’enjeu n’est pas de créer des dispositifs séparés, mais de faire en sorte que les SHS soient pleinement intégrées dans l’ensemble des politiques d’innovation.</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Conclusion</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pistes d’amélioration identifiées à partir des entretiens et consolidées par la restitution mettent en évidence un enjeu central : rendre l’écosystème d’innovation du site Lyon–Saint-Étienne plus lisible, plus coordonné et plus opérationnel, sans en altérer la diversité et la capacité d’adaptation.</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leviers identifiés : reconnaissance institutionnelle de l’innovation, renforcement des ressources techniques, amélioration de la coordination, clarification des cadres, mise en visibilité des projets et intégration des sciences humaines et sociales – convergent vers une transformation progressive du système. Il ne s’agit pas de le refondre, mais de le faire évoluer vers un modèle plus fluide, capable de mieux accompagner la diversité des trajectoires d’innovation.</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articulant ces différentes dimensions, le site Lyon–Saint-Étienne pourrait renforcer sa capacité à transformer ses ressources scientifiques et territoriales en dynamiques d’innovation pleinement effectives, au service des enjeux économiques, sociaux et sociétaux.</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Mention des limites et des conditions de mise en oeuvre </w:t>
      </w:r>
      <w:r w:rsidDel="00000000" w:rsidR="00000000" w:rsidRPr="00000000">
        <w:rPr>
          <w:rtl w:val="0"/>
        </w:rPr>
      </w:r>
    </w:p>
    <w:p w:rsidR="00000000" w:rsidDel="00000000" w:rsidP="00000000" w:rsidRDefault="00000000" w:rsidRPr="00000000" w14:paraId="000000EC">
      <w:pPr>
        <w:spacing w:after="240" w:before="240" w:lineRule="auto"/>
        <w:ind w:left="72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D">
      <w:pPr>
        <w:pStyle w:val="Heading2"/>
        <w:keepNext w:val="0"/>
        <w:keepLines w:val="0"/>
        <w:spacing w:after="80" w:lineRule="auto"/>
        <w:jc w:val="both"/>
        <w:rPr>
          <w:rFonts w:ascii="Times New Roman" w:cs="Times New Roman" w:eastAsia="Times New Roman" w:hAnsi="Times New Roman"/>
          <w:b w:val="1"/>
          <w:bCs w:val="1"/>
          <w:sz w:val="24"/>
          <w:szCs w:val="24"/>
          <w:u w:val="single"/>
        </w:rPr>
      </w:pPr>
      <w:bookmarkStart w:colFirst="0" w:colLast="0" w:name="_8ib3qg1eckd2" w:id="8"/>
      <w:bookmarkEnd w:id="8"/>
      <w:r w:rsidDel="00000000" w:rsidR="00000000" w:rsidRPr="00000000">
        <w:rPr>
          <w:rFonts w:ascii="Times New Roman" w:cs="Times New Roman" w:eastAsia="Times New Roman" w:hAnsi="Times New Roman"/>
          <w:b w:val="1"/>
          <w:bCs w:val="1"/>
          <w:sz w:val="24"/>
          <w:szCs w:val="24"/>
          <w:u w:val="single"/>
          <w:rtl w:val="0"/>
        </w:rPr>
        <w:t xml:space="preserve">Conclusion</w:t>
      </w:r>
    </w:p>
    <w:p w:rsidR="00000000" w:rsidDel="00000000" w:rsidP="00000000" w:rsidRDefault="00000000" w:rsidRPr="00000000" w14:paraId="000000E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L’ensemble des pistes d’amélioration identifiées à partir des entretiens converge vers une même exigence : rendre l’écosystème d’innovation du site Lyon–Saint-Étienne pleinement opérationnel, en levant les blocages qui entravent aujourd’hui la transformation des projets en réalisations concrètes. L’enjeu principal n’est pas de multiplier les dispositifs, mais de mieux mobiliser les ressources existantes, en agissant sur des leviers clés tels que le temps, les compétences, la coordination et la reconnaissance des différentes formes d’innovation.</w:t>
      </w:r>
    </w:p>
    <w:p w:rsidR="00000000" w:rsidDel="00000000" w:rsidP="00000000" w:rsidRDefault="00000000" w:rsidRPr="00000000" w14:paraId="000000EF">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instituant un temps protégé pour les porteurs de projets, en créant des ressources techniques mutualisées, en structurant un pilotage stratégique unifié, en adoptant une approche proactive de la valorisation, en renforçant l’ancrage territorial et en développant une politique ambitieuse en faveur des sciences humaines et sociales, le site Lyon–Saint-Étienne pourrait significativement renforcer sa capacité à produire des innovations à fort impact.</w:t>
      </w:r>
    </w:p>
    <w:p w:rsidR="00000000" w:rsidDel="00000000" w:rsidP="00000000" w:rsidRDefault="00000000" w:rsidRPr="00000000" w14:paraId="000000F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évolutions, à la fois pragmatiques et structurantes, permettraient de transformer un écosystème déjà riche en un véritable système intégré, capable de répondre de manière efficace et cohérente aux enjeux contemporains de l’innovation.</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Il s’agit d’un secteur assez large au sein duquel même il existe de nombreux désaccords. Cependant, étant donné que l’échantillon est assez restreint, les acteurs ont été regroupés au sein du même secteur.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